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jc w:val="right"/>
        <w:rPr>
          <w:rFonts w:ascii="Arial" w:hAnsi="Arial" w:eastAsia="Times New Roman"/>
        </w:rPr>
      </w:pPr>
      <w:r>
        <w:rPr>
          <w:rFonts w:eastAsia="Times New Roman" w:ascii="Arial" w:hAnsi="Arial"/>
        </w:rPr>
      </w:r>
    </w:p>
    <w:p>
      <w:pPr>
        <w:pStyle w:val="Normal"/>
        <w:spacing w:lineRule="auto" w:line="360"/>
        <w:jc w:val="right"/>
        <w:rPr>
          <w:rFonts w:ascii="Arial" w:hAnsi="Arial"/>
        </w:rPr>
      </w:pPr>
      <w:sdt>
        <w:sdtPr>
          <w:tag w:val="goog_rdk_0"/>
          <w:id w:val="-1186671875"/>
        </w:sdtPr>
        <w:sdtContent>
          <w:r>
            <w:rPr/>
          </w:r>
          <w:r>
            <w:rPr/>
          </w:r>
        </w:sdtContent>
      </w:sdt>
      <w:r>
        <w:rPr>
          <w:rFonts w:eastAsia="Times New Roman" w:ascii="Arial" w:hAnsi="Arial"/>
        </w:rPr>
        <w:t>[</w:t>
      </w:r>
      <w:commentRangeStart w:id="0"/>
      <w:r>
        <w:rPr>
          <w:rFonts w:eastAsia="Times New Roman" w:ascii="Arial" w:hAnsi="Arial"/>
        </w:rPr>
        <w:t>miejscowość</w:t>
      </w:r>
      <w:r>
        <w:rPr>
          <w:rFonts w:eastAsia="Times New Roman" w:ascii="Arial" w:hAnsi="Arial"/>
        </w:rPr>
      </w:r>
      <w:commentRangeEnd w:id="0"/>
      <w:r>
        <w:commentReference w:id="0"/>
      </w:r>
      <w:r>
        <w:rPr>
          <w:rFonts w:eastAsia="Times New Roman" w:ascii="Arial" w:hAnsi="Arial"/>
        </w:rPr>
        <w:t xml:space="preserve">], </w:t>
      </w:r>
      <w:sdt>
        <w:sdtPr>
          <w:tag w:val="goog_rdk_1"/>
          <w:id w:val="742924157"/>
        </w:sdtPr>
        <w:sdtContent>
          <w:r>
            <w:rPr>
              <w:rFonts w:eastAsia="Times New Roman" w:ascii="Arial" w:hAnsi="Arial"/>
            </w:rPr>
          </w:r>
          <w:r>
            <w:rPr>
              <w:rFonts w:eastAsia="Times New Roman" w:ascii="Arial" w:hAnsi="Arial"/>
            </w:rPr>
          </w:r>
        </w:sdtContent>
      </w:sdt>
      <w:r>
        <w:rPr>
          <w:rFonts w:eastAsia="Times New Roman" w:ascii="Arial" w:hAnsi="Arial"/>
        </w:rPr>
        <w:t>[</w:t>
      </w:r>
      <w:commentRangeStart w:id="1"/>
      <w:r>
        <w:rPr>
          <w:rFonts w:eastAsia="Times New Roman" w:ascii="Arial" w:hAnsi="Arial"/>
        </w:rPr>
        <w:t>data</w:t>
      </w:r>
      <w:r>
        <w:rPr>
          <w:rFonts w:eastAsia="Times New Roman" w:ascii="Arial" w:hAnsi="Arial"/>
        </w:rPr>
      </w:r>
      <w:commentRangeEnd w:id="1"/>
      <w:r>
        <w:commentReference w:id="1"/>
      </w:r>
      <w:r>
        <w:rPr>
          <w:rFonts w:eastAsia="Times New Roman" w:ascii="Arial" w:hAnsi="Arial"/>
        </w:rPr>
        <w:t>]</w:t>
      </w:r>
    </w:p>
    <w:p>
      <w:pPr>
        <w:pStyle w:val="Normal"/>
        <w:spacing w:lineRule="auto" w:line="360"/>
        <w:jc w:val="right"/>
        <w:rPr>
          <w:rFonts w:ascii="Arial" w:hAnsi="Arial" w:eastAsia="Times New Roman"/>
        </w:rPr>
      </w:pPr>
      <w:r>
        <w:rPr>
          <w:rFonts w:eastAsia="Times New Roman" w:ascii="Arial" w:hAnsi="Arial"/>
        </w:rPr>
      </w:r>
    </w:p>
    <w:p>
      <w:pPr>
        <w:pStyle w:val="Normal"/>
        <w:spacing w:lineRule="auto" w:line="360"/>
        <w:jc w:val="right"/>
        <w:rPr>
          <w:rFonts w:ascii="Arial" w:hAnsi="Arial" w:eastAsia="Times New Roman"/>
        </w:rPr>
      </w:pPr>
      <w:r>
        <w:rPr>
          <w:rFonts w:eastAsia="Times New Roman" w:ascii="Arial" w:hAnsi="Arial"/>
        </w:rPr>
      </w:r>
    </w:p>
    <w:p>
      <w:pPr>
        <w:pStyle w:val="Normal"/>
        <w:spacing w:lineRule="auto" w:line="360"/>
        <w:ind w:left="5669"/>
        <w:rPr>
          <w:rFonts w:ascii="Arial" w:hAnsi="Arial"/>
        </w:rPr>
      </w:pPr>
      <w:commentRangeStart w:id="2"/>
      <w:sdt>
        <w:sdtPr>
          <w:tag w:val="goog_rdk_2"/>
          <w:id w:val="-2126459899"/>
        </w:sdtPr>
        <w:sdtContent>
          <w:r>
            <w:rPr/>
          </w:r>
          <w:r>
            <w:rPr/>
          </w:r>
        </w:sdtContent>
      </w:sdt>
      <w:r>
        <w:rPr>
          <w:rFonts w:eastAsia="Times New Roman" w:ascii="Arial" w:hAnsi="Arial"/>
        </w:rPr>
        <w:t>Sąd Rejonowy w…</w:t>
      </w:r>
      <w:commentRangeEnd w:id="2"/>
      <w:r>
        <w:commentReference w:id="2"/>
      </w:r>
      <w:r>
        <w:rPr>
          <w:rFonts w:eastAsia="Times New Roman" w:ascii="Arial" w:hAnsi="Arial"/>
        </w:rPr>
      </w:r>
    </w:p>
    <w:p>
      <w:pPr>
        <w:pStyle w:val="Normal"/>
        <w:spacing w:lineRule="auto" w:line="360"/>
        <w:ind w:left="5669"/>
        <w:rPr>
          <w:rFonts w:ascii="Arial" w:hAnsi="Arial"/>
        </w:rPr>
      </w:pPr>
      <w:commentRangeStart w:id="3"/>
      <w:sdt>
        <w:sdtPr>
          <w:tag w:val="goog_rdk_3"/>
          <w:id w:val="-900124514"/>
        </w:sdtPr>
        <w:sdtContent>
          <w:r>
            <w:rPr/>
          </w:r>
          <w:r>
            <w:rPr/>
          </w:r>
        </w:sdtContent>
      </w:sdt>
      <w:r>
        <w:rPr>
          <w:rFonts w:eastAsia="Times New Roman" w:ascii="Arial" w:hAnsi="Arial"/>
        </w:rPr>
        <w:t>Wydział Cywilny</w:t>
      </w:r>
      <w:r>
        <w:rPr>
          <w:rFonts w:eastAsia="Times New Roman" w:ascii="Arial" w:hAnsi="Arial"/>
        </w:rPr>
      </w:r>
      <w:commentRangeEnd w:id="3"/>
      <w:r>
        <w:commentReference w:id="3"/>
      </w:r>
      <w:r>
        <w:rPr>
          <w:rFonts w:eastAsia="Times New Roman" w:ascii="Arial" w:hAnsi="Arial"/>
        </w:rPr>
        <w:t xml:space="preserve"> </w:t>
      </w:r>
    </w:p>
    <w:p>
      <w:pPr>
        <w:pStyle w:val="Normal"/>
        <w:spacing w:lineRule="auto" w:line="360"/>
        <w:ind w:left="5669"/>
        <w:rPr>
          <w:rFonts w:ascii="Arial" w:hAnsi="Arial"/>
        </w:rPr>
      </w:pPr>
      <w:commentRangeStart w:id="4"/>
      <w:r>
        <w:rPr>
          <w:rFonts w:eastAsia="Times New Roman" w:ascii="Arial" w:hAnsi="Arial"/>
        </w:rPr>
        <w:t>[adres]</w:t>
      </w:r>
      <w:commentRangeEnd w:id="4"/>
      <w:r>
        <w:commentReference w:id="4"/>
      </w:r>
      <w:r>
        <w:rPr>
          <w:rFonts w:eastAsia="Times New Roman" w:ascii="Arial" w:hAnsi="Arial"/>
        </w:rPr>
      </w:r>
    </w:p>
    <w:p>
      <w:pPr>
        <w:pStyle w:val="Normal"/>
        <w:spacing w:lineRule="auto" w:line="360"/>
        <w:ind w:left="5669"/>
        <w:rPr>
          <w:rFonts w:ascii="Arial" w:hAnsi="Arial" w:eastAsia="Times New Roman"/>
        </w:rPr>
      </w:pPr>
      <w:r>
        <w:rPr>
          <w:rFonts w:eastAsia="Times New Roman" w:ascii="Arial" w:hAnsi="Arial"/>
        </w:rPr>
      </w:r>
    </w:p>
    <w:p>
      <w:pPr>
        <w:pStyle w:val="Normal"/>
        <w:spacing w:lineRule="auto" w:line="360"/>
        <w:ind w:left="5669"/>
        <w:rPr>
          <w:rFonts w:ascii="Arial" w:hAnsi="Arial"/>
        </w:rPr>
      </w:pPr>
      <w:r>
        <w:rPr>
          <w:rFonts w:eastAsia="Times New Roman" w:ascii="Arial" w:hAnsi="Arial"/>
          <w:b/>
        </w:rPr>
        <w:t>Wnioskodawca</w:t>
      </w:r>
      <w:sdt>
        <w:sdtPr>
          <w:tag w:val="goog_rdk_4"/>
          <w:id w:val="283932100"/>
        </w:sdtPr>
        <w:sdtContent>
          <w:r>
            <w:rPr>
              <w:rFonts w:eastAsia="Times New Roman" w:ascii="Arial" w:hAnsi="Arial"/>
              <w:b/>
            </w:rPr>
          </w:r>
          <w:r>
            <w:rPr>
              <w:rFonts w:eastAsia="Times New Roman" w:ascii="Arial" w:hAnsi="Arial"/>
              <w:b/>
            </w:rPr>
          </w:r>
        </w:sdtContent>
      </w:sdt>
      <w:r>
        <w:rPr>
          <w:rFonts w:eastAsia="Times New Roman" w:ascii="Arial" w:hAnsi="Arial"/>
          <w:b/>
        </w:rPr>
        <w:t>:</w:t>
      </w:r>
    </w:p>
    <w:p>
      <w:pPr>
        <w:pStyle w:val="Normal"/>
        <w:spacing w:lineRule="auto" w:line="360"/>
        <w:ind w:left="5669"/>
        <w:rPr>
          <w:rFonts w:ascii="Arial" w:hAnsi="Arial"/>
        </w:rPr>
      </w:pPr>
      <w:commentRangeStart w:id="5"/>
      <w:sdt>
        <w:sdtPr>
          <w:tag w:val="goog_rdk_5"/>
          <w:id w:val="-403299597"/>
        </w:sdtPr>
        <w:sdtContent>
          <w:r>
            <w:rPr/>
          </w:r>
          <w:r>
            <w:rPr/>
          </w:r>
        </w:sdtContent>
      </w:sdt>
      <w:r>
        <w:rPr>
          <w:rFonts w:eastAsia="Times New Roman" w:ascii="Arial" w:hAnsi="Arial"/>
        </w:rPr>
        <w:t>[imię i nazwisko</w:t>
      </w:r>
      <w:r>
        <w:rPr>
          <w:rFonts w:eastAsia="Times New Roman" w:ascii="Arial" w:hAnsi="Arial"/>
        </w:rPr>
      </w:r>
      <w:commentRangeEnd w:id="5"/>
      <w:r>
        <w:commentReference w:id="5"/>
      </w:r>
      <w:r>
        <w:rPr>
          <w:rFonts w:eastAsia="Times New Roman" w:ascii="Arial" w:hAnsi="Arial"/>
        </w:rPr>
        <w:t>]</w:t>
      </w:r>
    </w:p>
    <w:p>
      <w:pPr>
        <w:pStyle w:val="Normal"/>
        <w:spacing w:lineRule="auto" w:line="360"/>
        <w:ind w:left="5669"/>
        <w:rPr>
          <w:rFonts w:ascii="Arial" w:hAnsi="Arial"/>
        </w:rPr>
      </w:pPr>
      <w:commentRangeStart w:id="6"/>
      <w:sdt>
        <w:sdtPr>
          <w:tag w:val="goog_rdk_6"/>
          <w:id w:val="-1333827821"/>
        </w:sdtPr>
        <w:sdtContent>
          <w:r>
            <w:rPr/>
          </w:r>
          <w:r>
            <w:rPr/>
          </w:r>
        </w:sdtContent>
      </w:sdt>
      <w:r>
        <w:rPr>
          <w:rFonts w:eastAsia="Times New Roman" w:ascii="Arial" w:hAnsi="Arial"/>
        </w:rPr>
        <w:t>[adres]</w:t>
      </w:r>
      <w:commentRangeEnd w:id="6"/>
      <w:r>
        <w:commentReference w:id="6"/>
      </w:r>
      <w:r>
        <w:rPr>
          <w:rFonts w:eastAsia="Times New Roman" w:ascii="Arial" w:hAnsi="Arial"/>
        </w:rPr>
      </w:r>
    </w:p>
    <w:p>
      <w:pPr>
        <w:pStyle w:val="Normal"/>
        <w:spacing w:lineRule="auto" w:line="360"/>
        <w:ind w:left="5669"/>
        <w:rPr>
          <w:rFonts w:ascii="Arial" w:hAnsi="Arial"/>
        </w:rPr>
      </w:pPr>
      <w:commentRangeStart w:id="7"/>
      <w:r>
        <w:rPr>
          <w:rFonts w:eastAsia="Times New Roman" w:ascii="Arial" w:hAnsi="Arial"/>
        </w:rPr>
        <w:t>[PESEL]</w:t>
      </w:r>
      <w:commentRangeEnd w:id="7"/>
      <w:r>
        <w:commentReference w:id="7"/>
      </w:r>
      <w:r>
        <w:rPr>
          <w:rFonts w:eastAsia="Times New Roman" w:ascii="Arial" w:hAnsi="Arial"/>
        </w:rPr>
      </w:r>
    </w:p>
    <w:p>
      <w:pPr>
        <w:pStyle w:val="Normal"/>
        <w:spacing w:lineRule="auto" w:line="360"/>
        <w:ind w:left="5669"/>
        <w:rPr>
          <w:rFonts w:ascii="Arial" w:hAnsi="Arial"/>
        </w:rPr>
      </w:pPr>
      <w:r>
        <w:rPr>
          <w:rFonts w:ascii="Arial" w:hAnsi="Arial"/>
        </w:rPr>
      </w:r>
    </w:p>
    <w:p>
      <w:pPr>
        <w:pStyle w:val="Normal"/>
        <w:spacing w:lineRule="auto" w:line="360"/>
        <w:ind w:left="5669"/>
        <w:rPr>
          <w:rFonts w:ascii="Arial" w:hAnsi="Arial"/>
        </w:rPr>
      </w:pPr>
      <w:r>
        <w:rPr>
          <w:rFonts w:eastAsia="Times New Roman" w:ascii="Arial" w:hAnsi="Arial"/>
        </w:rPr>
        <w:t xml:space="preserve">Reprezentowany przez </w:t>
      </w:r>
    </w:p>
    <w:p>
      <w:pPr>
        <w:pStyle w:val="ListParagraph"/>
        <w:numPr>
          <w:ilvl w:val="0"/>
          <w:numId w:val="4"/>
        </w:numPr>
        <w:spacing w:lineRule="auto" w:line="360"/>
        <w:rPr>
          <w:rFonts w:ascii="Arial" w:hAnsi="Arial"/>
        </w:rPr>
      </w:pPr>
      <w:r>
        <w:rPr>
          <w:rFonts w:eastAsia="Times New Roman" w:ascii="Arial" w:hAnsi="Arial"/>
        </w:rPr>
        <w:t>[dane pierwszego rodzica – imię i nazwisko, adres, PESEL]</w:t>
      </w:r>
    </w:p>
    <w:p>
      <w:pPr>
        <w:pStyle w:val="ListParagraph"/>
        <w:spacing w:lineRule="auto" w:line="360"/>
        <w:ind w:left="6029"/>
        <w:rPr>
          <w:rFonts w:ascii="Arial" w:hAnsi="Arial"/>
        </w:rPr>
      </w:pPr>
      <w:commentRangeStart w:id="8"/>
      <w:r>
        <w:rPr>
          <w:rFonts w:eastAsia="Times New Roman" w:ascii="Arial" w:hAnsi="Arial"/>
        </w:rPr>
        <w:t>[adres poczty elektronicznej i numer telefonu</w:t>
      </w:r>
      <w:r>
        <w:rPr>
          <w:rFonts w:eastAsia="Times New Roman" w:ascii="Arial" w:hAnsi="Arial"/>
        </w:rPr>
      </w:r>
      <w:commentRangeEnd w:id="8"/>
      <w:r>
        <w:commentReference w:id="8"/>
      </w:r>
      <w:r>
        <w:rPr>
          <w:rFonts w:eastAsia="Times New Roman" w:ascii="Arial" w:hAnsi="Arial"/>
        </w:rPr>
        <w:t>]</w:t>
      </w:r>
    </w:p>
    <w:p>
      <w:pPr>
        <w:pStyle w:val="ListParagraph"/>
        <w:numPr>
          <w:ilvl w:val="0"/>
          <w:numId w:val="4"/>
        </w:numPr>
        <w:spacing w:lineRule="auto" w:line="360"/>
        <w:rPr>
          <w:rFonts w:ascii="Arial" w:hAnsi="Arial"/>
        </w:rPr>
      </w:pPr>
      <w:r>
        <w:rPr>
          <w:rFonts w:eastAsia="Times New Roman" w:ascii="Arial" w:hAnsi="Arial"/>
        </w:rPr>
        <w:t>[dane drugiego rodzica – imię i nazwisko, adres, PESEL;</w:t>
      </w:r>
    </w:p>
    <w:p>
      <w:pPr>
        <w:pStyle w:val="ListParagraph"/>
        <w:spacing w:lineRule="auto" w:line="360"/>
        <w:ind w:left="6029"/>
        <w:rPr>
          <w:rFonts w:ascii="Arial" w:hAnsi="Arial"/>
        </w:rPr>
      </w:pPr>
      <w:commentRangeStart w:id="9"/>
      <w:r>
        <w:rPr>
          <w:rFonts w:eastAsia="Times New Roman" w:ascii="Arial" w:hAnsi="Arial"/>
        </w:rPr>
        <w:t>[adres poczty elektronicznej i numer telefonu]</w:t>
      </w:r>
      <w:commentRangeEnd w:id="9"/>
      <w:r>
        <w:commentReference w:id="9"/>
      </w:r>
      <w:r>
        <w:rPr>
          <w:rFonts w:eastAsia="Times New Roman" w:ascii="Arial" w:hAnsi="Arial"/>
        </w:rPr>
      </w:r>
    </w:p>
    <w:p>
      <w:pPr>
        <w:pStyle w:val="Normal"/>
        <w:spacing w:lineRule="auto" w:line="360"/>
        <w:ind w:left="5669"/>
        <w:rPr>
          <w:rFonts w:ascii="Arial" w:hAnsi="Arial"/>
        </w:rPr>
      </w:pPr>
      <w:commentRangeStart w:id="10"/>
      <w:r>
        <w:rPr>
          <w:rFonts w:eastAsia="Times New Roman" w:ascii="Arial" w:hAnsi="Arial"/>
        </w:rPr>
        <w:t>Adres do korespondencji:</w:t>
      </w:r>
      <w:commentRangeEnd w:id="10"/>
      <w:r>
        <w:commentReference w:id="10"/>
      </w:r>
      <w:r>
        <w:rPr>
          <w:rFonts w:eastAsia="Times New Roman" w:ascii="Arial" w:hAnsi="Arial"/>
        </w:rPr>
      </w:r>
    </w:p>
    <w:p>
      <w:pPr>
        <w:pStyle w:val="Normal"/>
        <w:spacing w:lineRule="auto" w:line="360"/>
        <w:ind w:left="5669"/>
        <w:rPr>
          <w:rFonts w:ascii="Arial" w:hAnsi="Arial"/>
        </w:rPr>
      </w:pPr>
      <w:r>
        <w:rPr>
          <w:rFonts w:eastAsia="Times New Roman" w:ascii="Arial" w:hAnsi="Arial"/>
        </w:rPr>
        <w:t>[adres]</w:t>
      </w:r>
    </w:p>
    <w:p>
      <w:pPr>
        <w:pStyle w:val="Normal"/>
        <w:spacing w:lineRule="auto" w:line="360"/>
        <w:ind w:left="5669"/>
        <w:rPr>
          <w:rFonts w:ascii="Arial" w:hAnsi="Arial"/>
        </w:rPr>
      </w:pPr>
      <w:commentRangeStart w:id="11"/>
      <w:r>
        <w:rPr>
          <w:rFonts w:eastAsia="Times New Roman" w:ascii="Arial" w:hAnsi="Arial"/>
        </w:rPr>
        <w:t>Pełnomocnik do doręczeń:</w:t>
      </w:r>
      <w:commentRangeEnd w:id="11"/>
      <w:r>
        <w:commentReference w:id="11"/>
      </w:r>
      <w:r>
        <w:rPr>
          <w:rFonts w:eastAsia="Times New Roman" w:ascii="Arial" w:hAnsi="Arial"/>
        </w:rPr>
      </w:r>
    </w:p>
    <w:p>
      <w:pPr>
        <w:pStyle w:val="Normal"/>
        <w:spacing w:lineRule="auto" w:line="360"/>
        <w:ind w:left="5669"/>
        <w:rPr>
          <w:rFonts w:ascii="Arial" w:hAnsi="Arial"/>
        </w:rPr>
      </w:pPr>
      <w:r>
        <w:rPr>
          <w:rFonts w:eastAsia="Times New Roman" w:ascii="Arial" w:hAnsi="Arial"/>
        </w:rPr>
        <w:t>[imię i nazwisko pełnomocnika,</w:t>
      </w:r>
    </w:p>
    <w:p>
      <w:pPr>
        <w:pStyle w:val="Normal"/>
        <w:spacing w:lineRule="auto" w:line="360"/>
        <w:ind w:left="5669"/>
        <w:rPr>
          <w:rFonts w:ascii="Arial" w:hAnsi="Arial"/>
        </w:rPr>
      </w:pPr>
      <w:r>
        <w:rPr>
          <w:rFonts w:eastAsia="Times New Roman" w:ascii="Arial" w:hAnsi="Arial"/>
        </w:rPr>
        <w:t>adres pełnomocnika]</w:t>
      </w:r>
    </w:p>
    <w:p>
      <w:pPr>
        <w:pStyle w:val="Normal"/>
        <w:spacing w:lineRule="auto" w:line="360"/>
        <w:jc w:val="center"/>
        <w:rPr>
          <w:rFonts w:ascii="Arial" w:hAnsi="Arial" w:eastAsia="Times New Roman"/>
          <w:b/>
        </w:rPr>
      </w:pPr>
      <w:r>
        <w:rPr>
          <w:rFonts w:eastAsia="Times New Roman" w:ascii="Arial" w:hAnsi="Arial"/>
          <w:b/>
        </w:rPr>
      </w:r>
    </w:p>
    <w:p>
      <w:pPr>
        <w:pStyle w:val="Normal"/>
        <w:spacing w:lineRule="auto" w:line="360"/>
        <w:jc w:val="center"/>
        <w:rPr>
          <w:rFonts w:ascii="Arial" w:hAnsi="Arial"/>
        </w:rPr>
      </w:pPr>
      <w:r>
        <w:rPr>
          <w:rFonts w:eastAsia="Times New Roman" w:ascii="Arial" w:hAnsi="Arial"/>
          <w:b/>
        </w:rPr>
        <w:t>WNIOSEK O SPROSTOWANIE AKTU URODZENIA</w:t>
      </w:r>
    </w:p>
    <w:p>
      <w:pPr>
        <w:pStyle w:val="Normal"/>
        <w:spacing w:lineRule="auto" w:line="360"/>
        <w:jc w:val="center"/>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Na podstawie art. 36 ustawy Prawo o aktach stanu cywilnego, działając jako przedstawiciele ustawowi małoletniej osoby o danyc</w:t>
      </w:r>
      <w:commentRangeStart w:id="12"/>
      <w:r>
        <w:rPr>
          <w:rFonts w:eastAsia="Times New Roman" w:ascii="Arial" w:hAnsi="Arial"/>
        </w:rPr>
        <w:t>h […] (</w:t>
      </w:r>
      <w:r>
        <w:rPr>
          <w:rFonts w:eastAsia="Times New Roman" w:ascii="Arial" w:hAnsi="Arial"/>
        </w:rPr>
      </w:r>
      <w:commentRangeEnd w:id="12"/>
      <w:r>
        <w:commentReference w:id="12"/>
      </w:r>
      <w:r>
        <w:rPr>
          <w:rFonts w:eastAsia="Times New Roman" w:ascii="Arial" w:hAnsi="Arial"/>
        </w:rPr>
        <w:t>dalej jako Wnioskodawca) wnosimy o:</w:t>
      </w:r>
    </w:p>
    <w:p>
      <w:pPr>
        <w:pStyle w:val="Normal"/>
        <w:spacing w:lineRule="auto" w:line="360"/>
        <w:jc w:val="both"/>
        <w:rPr>
          <w:rFonts w:ascii="Arial" w:hAnsi="Arial" w:eastAsia="Times New Roman"/>
        </w:rPr>
      </w:pPr>
      <w:r>
        <w:rPr>
          <w:rFonts w:eastAsia="Times New Roman" w:ascii="Arial" w:hAnsi="Arial"/>
        </w:rPr>
      </w:r>
    </w:p>
    <w:p>
      <w:pPr>
        <w:pStyle w:val="Normal"/>
        <w:numPr>
          <w:ilvl w:val="0"/>
          <w:numId w:val="2"/>
        </w:numPr>
        <w:spacing w:lineRule="auto" w:line="360"/>
        <w:jc w:val="both"/>
        <w:rPr>
          <w:rFonts w:ascii="Arial" w:hAnsi="Arial"/>
        </w:rPr>
      </w:pPr>
      <w:r>
        <w:rPr>
          <w:rFonts w:eastAsia="Times New Roman" w:ascii="Arial" w:hAnsi="Arial"/>
        </w:rPr>
        <w:t xml:space="preserve">sprostowanie aktu urodzenia Wnioskodawcy zarejestrowanego w Urzędzie Stanu Cywilnego w </w:t>
      </w:r>
      <w:commentRangeStart w:id="13"/>
      <w:sdt>
        <w:sdtPr>
          <w:tag w:val="goog_rdk_9"/>
          <w:id w:val="1574157231"/>
        </w:sdtPr>
        <w:sdtContent>
          <w:r>
            <w:rPr>
              <w:rFonts w:eastAsia="Times New Roman" w:ascii="Arial" w:hAnsi="Arial"/>
            </w:rPr>
          </w:r>
          <w:r>
            <w:rPr>
              <w:rFonts w:eastAsia="Times New Roman" w:ascii="Arial" w:hAnsi="Arial"/>
            </w:rPr>
          </w:r>
        </w:sdtContent>
      </w:sdt>
      <w:r>
        <w:rPr>
          <w:rFonts w:eastAsia="Times New Roman" w:ascii="Arial" w:hAnsi="Arial"/>
        </w:rPr>
        <w:t>[nazwa miejscowości</w:t>
      </w:r>
      <w:r>
        <w:rPr>
          <w:rFonts w:eastAsia="Times New Roman" w:ascii="Arial" w:hAnsi="Arial"/>
        </w:rPr>
      </w:r>
      <w:commentRangeEnd w:id="13"/>
      <w:r>
        <w:commentReference w:id="13"/>
      </w:r>
      <w:r>
        <w:rPr>
          <w:rFonts w:eastAsia="Times New Roman" w:ascii="Arial" w:hAnsi="Arial"/>
        </w:rPr>
        <w:t xml:space="preserve">] za nr  </w:t>
      </w:r>
      <w:commentRangeStart w:id="14"/>
      <w:sdt>
        <w:sdtPr>
          <w:tag w:val="goog_rdk_10"/>
          <w:id w:val="-1249571610"/>
        </w:sdtPr>
        <w:sdtContent>
          <w:r>
            <w:rPr>
              <w:rFonts w:eastAsia="Times New Roman" w:ascii="Arial" w:hAnsi="Arial"/>
            </w:rPr>
          </w:r>
          <w:r>
            <w:rPr>
              <w:rFonts w:eastAsia="Times New Roman" w:ascii="Arial" w:hAnsi="Arial"/>
            </w:rPr>
          </w:r>
        </w:sdtContent>
      </w:sdt>
      <w:r>
        <w:rPr>
          <w:rFonts w:eastAsia="Times New Roman" w:ascii="Arial" w:hAnsi="Arial"/>
        </w:rPr>
        <w:t>[numer aktu]</w:t>
      </w:r>
      <w:r>
        <w:rPr>
          <w:rFonts w:eastAsia="Times New Roman" w:ascii="Arial" w:hAnsi="Arial"/>
        </w:rPr>
      </w:r>
      <w:commentRangeEnd w:id="14"/>
      <w:r>
        <w:commentReference w:id="14"/>
      </w:r>
      <w:r>
        <w:rPr>
          <w:rFonts w:eastAsia="Times New Roman" w:ascii="Arial" w:hAnsi="Arial"/>
        </w:rPr>
        <w:t xml:space="preserve">, w ten sposób, by: </w:t>
      </w:r>
    </w:p>
    <w:p>
      <w:pPr>
        <w:pStyle w:val="Normal"/>
        <w:numPr>
          <w:ilvl w:val="1"/>
          <w:numId w:val="2"/>
        </w:numPr>
        <w:spacing w:lineRule="auto" w:line="360"/>
        <w:jc w:val="both"/>
        <w:rPr>
          <w:rFonts w:ascii="Arial" w:hAnsi="Arial"/>
        </w:rPr>
      </w:pPr>
      <w:r>
        <w:rPr>
          <w:rFonts w:eastAsia="Times New Roman" w:ascii="Arial" w:hAnsi="Arial"/>
        </w:rPr>
        <w:t>w miejsce wpisanej w akcie urodzenia płci oznaczonej jako żeńska (kobieta) wpisać płeć męską (mężczyzna);</w:t>
      </w:r>
    </w:p>
    <w:p>
      <w:pPr>
        <w:pStyle w:val="Normal"/>
        <w:numPr>
          <w:ilvl w:val="1"/>
          <w:numId w:val="2"/>
        </w:numPr>
        <w:spacing w:lineRule="auto" w:line="360"/>
        <w:jc w:val="both"/>
        <w:rPr>
          <w:rFonts w:ascii="Arial" w:hAnsi="Arial"/>
        </w:rPr>
      </w:pPr>
      <w:commentRangeStart w:id="15"/>
      <w:sdt>
        <w:sdtPr>
          <w:tag w:val="goog_rdk_11"/>
          <w:id w:val="-1678191786"/>
          <w:placeholder>
            <w:docPart w:val="DefaultPlaceholder_1081868574"/>
          </w:placeholder>
        </w:sdtPr>
        <w:sdtContent>
          <w:r>
            <w:rPr/>
          </w:r>
          <w:r>
            <w:rPr/>
          </w:r>
        </w:sdtContent>
      </w:sdt>
      <w:r>
        <w:rPr>
          <w:rFonts w:eastAsia="Times New Roman" w:ascii="Arial" w:hAnsi="Arial"/>
        </w:rPr>
        <w:t xml:space="preserve">i w miejsce wpisanego w akcie urodzenia imienia/imion […] zostało wpisane/zostały wpisane imię/imiona </w:t>
      </w:r>
      <w:r>
        <w:rPr>
          <w:rFonts w:eastAsia="Times New Roman" w:ascii="Arial" w:hAnsi="Arial"/>
        </w:rPr>
        <w:t>[…]</w:t>
      </w:r>
    </w:p>
    <w:p>
      <w:pPr>
        <w:pStyle w:val="Normal"/>
        <w:numPr>
          <w:ilvl w:val="1"/>
          <w:numId w:val="2"/>
        </w:numPr>
        <w:spacing w:lineRule="auto" w:line="360"/>
        <w:jc w:val="both"/>
        <w:rPr>
          <w:rFonts w:ascii="Arial" w:hAnsi="Arial"/>
        </w:rPr>
      </w:pPr>
      <w:commentRangeStart w:id="16"/>
      <w:sdt>
        <w:sdtPr>
          <w:tag w:val="goog_rdk_12"/>
          <w:id w:val="2075933595"/>
          <w:placeholder>
            <w:docPart w:val="DefaultPlaceholder_1081868574"/>
          </w:placeholder>
        </w:sdtPr>
        <w:sdtContent>
          <w:r>
            <w:rPr/>
          </w:r>
          <w:r>
            <w:rPr/>
          </w:r>
        </w:sdtContent>
      </w:sdt>
      <w:r>
        <w:rPr>
          <w:rFonts w:ascii="Arial" w:hAnsi="Arial"/>
        </w:rPr>
        <w:t>w</w:t>
      </w:r>
      <w:r>
        <w:rPr>
          <w:rFonts w:ascii="Arial" w:hAnsi="Arial"/>
        </w:rPr>
        <w:t xml:space="preserve"> miejsce wpisanego w akcie urodzenia </w:t>
      </w:r>
      <w:r>
        <w:rPr>
          <w:rFonts w:eastAsia="Times New Roman" w:ascii="Arial" w:hAnsi="Arial"/>
        </w:rPr>
        <w:t>nazwiska [...] zostało wpisane [...];</w:t>
      </w:r>
      <w:r>
        <w:rPr>
          <w:rFonts w:eastAsia="Times New Roman" w:ascii="Arial" w:hAnsi="Arial"/>
        </w:rPr>
      </w:r>
      <w:commentRangeEnd w:id="15"/>
      <w:r>
        <w:commentReference w:id="15"/>
      </w:r>
      <w:commentRangeEnd w:id="16"/>
      <w:r>
        <w:commentReference w:id="16"/>
      </w:r>
      <w:r>
        <w:rPr>
          <w:rFonts w:eastAsia="Times New Roman" w:ascii="Arial" w:hAnsi="Arial"/>
        </w:rPr>
      </w:r>
    </w:p>
    <w:p>
      <w:pPr>
        <w:pStyle w:val="Normal"/>
        <w:numPr>
          <w:ilvl w:val="0"/>
          <w:numId w:val="2"/>
        </w:numPr>
        <w:spacing w:lineRule="auto" w:line="360"/>
        <w:jc w:val="both"/>
        <w:rPr>
          <w:rFonts w:ascii="Arial" w:hAnsi="Arial"/>
        </w:rPr>
      </w:pPr>
      <w:r>
        <w:rPr>
          <w:rFonts w:eastAsia="Times New Roman" w:ascii="Arial" w:hAnsi="Arial"/>
        </w:rPr>
        <w:t xml:space="preserve">rozpoznanie sprawy na </w:t>
      </w:r>
      <w:sdt>
        <w:sdtPr>
          <w:tag w:val="goog_rdk_13"/>
          <w:id w:val="1831249067"/>
        </w:sdtPr>
        <w:sdtContent>
          <w:r>
            <w:rPr>
              <w:rFonts w:eastAsia="Times New Roman" w:ascii="Arial" w:hAnsi="Arial"/>
            </w:rPr>
          </w:r>
          <w:r>
            <w:rPr>
              <w:rFonts w:eastAsia="Times New Roman" w:ascii="Arial" w:hAnsi="Arial"/>
            </w:rPr>
          </w:r>
        </w:sdtContent>
      </w:sdt>
      <w:commentRangeStart w:id="17"/>
      <w:r>
        <w:rPr>
          <w:rFonts w:eastAsia="Times New Roman" w:ascii="Arial" w:hAnsi="Arial"/>
        </w:rPr>
        <w:t>posiedzeniu niejawnym;</w:t>
      </w:r>
      <w:commentRangeEnd w:id="17"/>
      <w:r>
        <w:commentReference w:id="17"/>
      </w:r>
      <w:r>
        <w:rPr>
          <w:rFonts w:eastAsia="Times New Roman" w:ascii="Arial" w:hAnsi="Arial"/>
        </w:rPr>
      </w:r>
    </w:p>
    <w:p>
      <w:pPr>
        <w:pStyle w:val="Normal"/>
        <w:numPr>
          <w:ilvl w:val="0"/>
          <w:numId w:val="2"/>
        </w:numPr>
        <w:spacing w:lineRule="auto" w:line="360"/>
        <w:jc w:val="both"/>
        <w:rPr>
          <w:rFonts w:ascii="Arial" w:hAnsi="Arial"/>
        </w:rPr>
      </w:pPr>
      <w:r>
        <w:rPr>
          <w:rFonts w:eastAsia="Times New Roman" w:ascii="Arial" w:hAnsi="Arial"/>
        </w:rPr>
        <w:t>rozpoznanie niniejszej sprawy w trybie pilnym, zgodnie z § 2 pkt 5 lit. x Rozporządzenia Ministra Sprawiedliwości z dnia 18 czerwca 2019 r. Regulamin urzędowania sądów powszechnych;</w:t>
      </w:r>
    </w:p>
    <w:p>
      <w:pPr>
        <w:pStyle w:val="Normal"/>
        <w:numPr>
          <w:ilvl w:val="0"/>
          <w:numId w:val="2"/>
        </w:numPr>
        <w:spacing w:lineRule="auto" w:line="360"/>
        <w:jc w:val="both"/>
        <w:rPr>
          <w:rFonts w:ascii="Arial" w:hAnsi="Arial"/>
        </w:rPr>
      </w:pPr>
      <w:commentRangeStart w:id="18"/>
      <w:sdt>
        <w:sdtPr>
          <w:tag w:val="goog_rdk_14"/>
          <w:id w:val="-2138406152"/>
        </w:sdtPr>
        <w:sdtContent>
          <w:r>
            <w:rPr/>
          </w:r>
          <w:r>
            <w:rPr/>
          </w:r>
        </w:sdtContent>
      </w:sdt>
      <w:r>
        <w:rPr>
          <w:rFonts w:eastAsia="Times New Roman" w:ascii="Arial" w:hAnsi="Arial"/>
        </w:rPr>
        <w:t>dopuszczenie i przeprowadzenie dowodu z dokumentów:</w:t>
      </w:r>
      <w:commentRangeEnd w:id="18"/>
      <w:r>
        <w:commentReference w:id="18"/>
      </w:r>
      <w:r>
        <w:rPr>
          <w:rFonts w:eastAsia="Times New Roman" w:ascii="Arial" w:hAnsi="Arial"/>
        </w:rPr>
      </w:r>
    </w:p>
    <w:p>
      <w:pPr>
        <w:pStyle w:val="Normal"/>
        <w:numPr>
          <w:ilvl w:val="1"/>
          <w:numId w:val="2"/>
        </w:numPr>
        <w:spacing w:lineRule="auto" w:line="360"/>
        <w:jc w:val="both"/>
        <w:rPr>
          <w:rFonts w:ascii="Arial" w:hAnsi="Arial"/>
        </w:rPr>
      </w:pPr>
      <w:sdt>
        <w:sdtPr>
          <w:tag w:val="goog_rdk_15"/>
          <w:id w:val="1000235110"/>
        </w:sdtPr>
        <w:sdtContent>
          <w:r>
            <w:rPr/>
          </w:r>
          <w:r>
            <w:rPr/>
          </w:r>
        </w:sdtContent>
      </w:sdt>
      <w:r>
        <w:rPr>
          <w:rFonts w:eastAsia="Times New Roman" w:ascii="Arial" w:hAnsi="Arial"/>
        </w:rPr>
        <w:t xml:space="preserve">odpisu aktu urodzenia – na fakt oznaczenia płci Wnioskodawcy w akcie urodzenia jako żeńskiej, </w:t>
      </w:r>
    </w:p>
    <w:p>
      <w:pPr>
        <w:pStyle w:val="Normal"/>
        <w:numPr>
          <w:ilvl w:val="1"/>
          <w:numId w:val="2"/>
        </w:numPr>
        <w:spacing w:lineRule="auto" w:line="360"/>
        <w:jc w:val="both"/>
        <w:rPr>
          <w:rFonts w:ascii="Arial" w:hAnsi="Arial"/>
        </w:rPr>
      </w:pPr>
      <w:sdt>
        <w:sdtPr>
          <w:tag w:val="goog_rdk_16"/>
          <w:id w:val="1537384228"/>
        </w:sdtPr>
        <w:sdtContent>
          <w:r>
            <w:rPr/>
          </w:r>
          <w:r>
            <w:rPr/>
          </w:r>
        </w:sdtContent>
      </w:sdt>
      <w:r>
        <w:rPr>
          <w:rFonts w:eastAsia="Times New Roman" w:ascii="Arial" w:hAnsi="Arial"/>
        </w:rPr>
        <w:t xml:space="preserve">opinii </w:t>
      </w:r>
      <w:commentRangeStart w:id="19"/>
      <w:r>
        <w:rPr>
          <w:rFonts w:eastAsia="Times New Roman" w:ascii="Arial" w:hAnsi="Arial"/>
        </w:rPr>
        <w:t>psychologa/psychologa-seksuologa</w:t>
      </w:r>
      <w:r>
        <w:rPr>
          <w:rFonts w:eastAsia="Times New Roman" w:ascii="Arial" w:hAnsi="Arial"/>
        </w:rPr>
      </w:r>
      <w:commentRangeEnd w:id="19"/>
      <w:r>
        <w:commentReference w:id="19"/>
      </w:r>
      <w:r>
        <w:rPr>
          <w:rFonts w:eastAsia="Times New Roman" w:ascii="Arial" w:hAnsi="Arial"/>
        </w:rPr>
        <w:t xml:space="preserve"> – na fakt stwierdzenia u Wnioskodawcy trwałej identyfikacji z płcią męską, wykluczenia wtórnego pochodzenia niezgodności płciowej, postawienia mu formalnej diagnozy transseksualizmu – </w:t>
      </w:r>
      <w:commentRangeStart w:id="20"/>
      <w:sdt>
        <w:sdtPr>
          <w:tag w:val="goog_rdk_17"/>
          <w:id w:val="-1628927335"/>
        </w:sdtPr>
        <w:sdtContent>
          <w:r>
            <w:rPr>
              <w:rFonts w:eastAsia="Times New Roman" w:ascii="Arial" w:hAnsi="Arial"/>
            </w:rPr>
          </w:r>
          <w:r>
            <w:rPr>
              <w:rFonts w:eastAsia="Times New Roman" w:ascii="Arial" w:hAnsi="Arial"/>
            </w:rPr>
          </w:r>
        </w:sdtContent>
      </w:sdt>
      <w:r>
        <w:rPr>
          <w:rFonts w:eastAsia="Times New Roman" w:ascii="Arial" w:hAnsi="Arial"/>
        </w:rPr>
        <w:t>F64.0 według nomenklatury ICD-10, a według nomenklatury ICD-11 niezgodności płciowej – HA60;</w:t>
      </w:r>
      <w:commentRangeEnd w:id="20"/>
      <w:r>
        <w:commentReference w:id="20"/>
      </w:r>
      <w:r>
        <w:rPr>
          <w:rFonts w:eastAsia="Times New Roman" w:ascii="Arial" w:hAnsi="Arial"/>
        </w:rPr>
      </w:r>
    </w:p>
    <w:p>
      <w:pPr>
        <w:pStyle w:val="Normal"/>
        <w:numPr>
          <w:ilvl w:val="1"/>
          <w:numId w:val="2"/>
        </w:numPr>
        <w:spacing w:lineRule="auto" w:line="360"/>
        <w:jc w:val="both"/>
        <w:rPr>
          <w:rFonts w:ascii="Arial" w:hAnsi="Arial"/>
        </w:rPr>
      </w:pPr>
      <w:sdt>
        <w:sdtPr>
          <w:tag w:val="goog_rdk_18"/>
          <w:id w:val="694349168"/>
        </w:sdtPr>
        <w:sdtContent>
          <w:r>
            <w:rPr/>
          </w:r>
          <w:r>
            <w:rPr/>
          </w:r>
        </w:sdtContent>
      </w:sdt>
      <w:r>
        <w:rPr>
          <w:rFonts w:eastAsia="Times New Roman" w:ascii="Arial" w:hAnsi="Arial"/>
        </w:rPr>
        <w:t>zaświadczenia lekarza psychiatry/seksuologa – na fakt występowania u Wnioskodawcy trwałej identyfikacji z płcią męską, wykluczenia wtórnego pochodzenia niezgodności płciowej, postawienia mu formalnej diagnozy transseksualizmu – F64.0 według nomenklatury ICD-10, a według nomenklatury ICD-11 niezgodności płciowej – HA60;</w:t>
      </w:r>
    </w:p>
    <w:p>
      <w:pPr>
        <w:pStyle w:val="Normal"/>
        <w:numPr>
          <w:ilvl w:val="1"/>
          <w:numId w:val="2"/>
        </w:numPr>
        <w:spacing w:lineRule="auto" w:line="360"/>
        <w:jc w:val="both"/>
        <w:rPr>
          <w:rFonts w:ascii="Arial" w:hAnsi="Arial"/>
        </w:rPr>
      </w:pPr>
      <w:commentRangeStart w:id="21"/>
      <w:sdt>
        <w:sdtPr>
          <w:tag w:val="goog_rdk_19"/>
          <w:id w:val="1557897653"/>
        </w:sdtPr>
        <w:sdtContent>
          <w:r>
            <w:rPr/>
          </w:r>
          <w:r>
            <w:rPr/>
          </w:r>
        </w:sdtContent>
      </w:sdt>
      <w:r>
        <w:rPr>
          <w:rFonts w:eastAsia="Times New Roman" w:ascii="Arial" w:hAnsi="Arial"/>
        </w:rPr>
        <w:t>zaświadczenia lekarskiego – na fakt wdrożenia u Wnioskodawcy terapii hormonalnej;</w:t>
      </w:r>
      <w:commentRangeEnd w:id="21"/>
      <w:r>
        <w:commentReference w:id="21"/>
      </w:r>
      <w:r>
        <w:rPr>
          <w:rFonts w:eastAsia="Times New Roman" w:ascii="Arial" w:hAnsi="Arial"/>
        </w:rPr>
      </w:r>
    </w:p>
    <w:p>
      <w:pPr>
        <w:pStyle w:val="Normal"/>
        <w:numPr>
          <w:ilvl w:val="1"/>
          <w:numId w:val="5"/>
        </w:numPr>
        <w:spacing w:lineRule="auto" w:line="360"/>
        <w:jc w:val="both"/>
        <w:rPr>
          <w:rFonts w:ascii="Arial" w:hAnsi="Arial"/>
        </w:rPr>
      </w:pPr>
      <w:r>
        <w:rPr>
          <w:rFonts w:eastAsia="Times New Roman" w:ascii="Arial" w:hAnsi="Arial"/>
        </w:rPr>
        <w:t xml:space="preserve">dokumentu zatytułowanego </w:t>
      </w:r>
      <w:r>
        <w:rPr>
          <w:rFonts w:cs="Arial" w:ascii="Arial" w:hAnsi="Arial"/>
          <w:i/>
          <w:iCs/>
        </w:rPr>
        <w:t xml:space="preserve">Ramowe zalecenia dotyczące procesu opieki nad zdrowiem nastoletnich osób transpłciowych (T) i niebinarnych (NB) doświadczających dysforii płciowej – stanowisko panelu ekspertów </w:t>
      </w:r>
      <w:r>
        <w:rPr>
          <w:rFonts w:cs="Arial" w:ascii="Arial" w:hAnsi="Arial"/>
        </w:rPr>
        <w:t>– na fakt aktualnych polskich standardów opieki nad nastoletnimi osobami transpłciowymi, wymogów diagnostycznych niezbędnych do postawienia diagnozy F64.0 lub HA60, spełniania przez Wnioskodawcę kryteriów diagnostycznych;</w:t>
      </w:r>
    </w:p>
    <w:p>
      <w:pPr>
        <w:pStyle w:val="Normal"/>
        <w:numPr>
          <w:ilvl w:val="1"/>
          <w:numId w:val="2"/>
        </w:numPr>
        <w:spacing w:lineRule="auto" w:line="360"/>
        <w:jc w:val="both"/>
        <w:rPr>
          <w:rFonts w:ascii="Arial" w:hAnsi="Arial"/>
        </w:rPr>
      </w:pPr>
      <w:commentRangeStart w:id="22"/>
      <w:sdt>
        <w:sdtPr>
          <w:tag w:val="goog_rdk_20"/>
          <w:id w:val="-2124837960"/>
        </w:sdtPr>
        <w:sdtContent>
          <w:r>
            <w:rPr/>
          </w:r>
          <w:r>
            <w:rPr/>
          </w:r>
        </w:sdtContent>
      </w:sdt>
      <w:r>
        <w:rPr>
          <w:rFonts w:eastAsia="Times New Roman" w:ascii="Arial" w:hAnsi="Arial"/>
        </w:rPr>
        <w:t>decyzji o zmianie imienia/nazwiska – na fakt zmiany imienia/nazwiska w związku z trwałym poczuciem przynależności do płci męskiej;</w:t>
      </w:r>
      <w:commentRangeEnd w:id="22"/>
      <w:r>
        <w:commentReference w:id="22"/>
      </w:r>
      <w:r>
        <w:rPr>
          <w:rFonts w:eastAsia="Times New Roman" w:ascii="Arial" w:hAnsi="Arial"/>
        </w:rPr>
      </w:r>
    </w:p>
    <w:p>
      <w:pPr>
        <w:pStyle w:val="Normal"/>
        <w:numPr>
          <w:ilvl w:val="1"/>
          <w:numId w:val="2"/>
        </w:numPr>
        <w:spacing w:lineRule="auto" w:line="360"/>
        <w:jc w:val="both"/>
        <w:rPr>
          <w:rFonts w:ascii="Arial" w:hAnsi="Arial"/>
        </w:rPr>
      </w:pPr>
      <w:commentRangeStart w:id="23"/>
      <w:sdt>
        <w:sdtPr>
          <w:tag w:val="goog_rdk_21"/>
          <w:id w:val="-733549898"/>
        </w:sdtPr>
        <w:sdtContent>
          <w:r>
            <w:rPr/>
          </w:r>
          <w:r>
            <w:rPr/>
          </w:r>
        </w:sdtContent>
      </w:sdt>
      <w:r>
        <w:rPr>
          <w:rFonts w:eastAsia="Times New Roman" w:ascii="Arial" w:hAnsi="Arial"/>
        </w:rPr>
        <w:t xml:space="preserve">wydruku z portali społecznościowych / wydruków ze szkoły – na fakt występowania u Wnioskodawcy trwałej identyfikacji z płcią męską, funkcjonowania jako mężczyzna w otoczeniu; </w:t>
      </w:r>
      <w:sdt>
        <w:sdtPr>
          <w:tag w:val="goog_rdk_22"/>
          <w:id w:val="-631325245"/>
        </w:sdtPr>
        <w:sdtContent>
          <w:r>
            <w:rPr>
              <w:rFonts w:eastAsia="Times New Roman" w:ascii="Arial" w:hAnsi="Arial"/>
            </w:rPr>
          </w:r>
          <w:r>
            <w:rPr>
              <w:rFonts w:eastAsia="Times New Roman" w:ascii="Arial" w:hAnsi="Arial"/>
            </w:rPr>
          </w:r>
        </w:sdtContent>
      </w:sdt>
      <w:commentRangeEnd w:id="23"/>
      <w:r>
        <w:commentReference w:id="23"/>
      </w: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commentRangeStart w:id="24"/>
      <w:sdt>
        <w:sdtPr>
          <w:tag w:val="goog_rdk_24"/>
          <w:id w:val="857773254"/>
        </w:sdtPr>
        <w:sdtContent>
          <w:r>
            <w:rPr/>
          </w:r>
          <w:r>
            <w:rPr/>
          </w:r>
        </w:sdtContent>
      </w:sdt>
      <w:r>
        <w:rPr>
          <w:rFonts w:eastAsia="Times New Roman" w:ascii="Arial" w:hAnsi="Arial"/>
        </w:rPr>
        <w:t xml:space="preserve">Jednocześnie przedkładamy jako załącznik wydaną przez Rzecznika Praw Obywatelskich publikację </w:t>
      </w:r>
      <w:r>
        <w:rPr>
          <w:rFonts w:eastAsia="Times New Roman" w:ascii="Arial" w:hAnsi="Arial"/>
          <w:i/>
        </w:rPr>
        <w:t>Postępowania w sprawach o uzgodnienie płci. Przewodnik</w:t>
      </w:r>
      <w:r>
        <w:rPr>
          <w:rFonts w:eastAsia="Times New Roman" w:ascii="Arial" w:hAnsi="Arial"/>
        </w:rPr>
        <w:t>, zawierającą szereg specjalistycznych informacji dotyczących praw osób transpłciowych oraz aktualnych standardów orzeczniczych w sprawach o ustalenie płci</w:t>
      </w:r>
      <w:r>
        <w:rPr>
          <w:rFonts w:eastAsia="Times New Roman" w:ascii="Arial" w:hAnsi="Arial"/>
        </w:rPr>
      </w:r>
      <w:commentRangeEnd w:id="24"/>
      <w:r>
        <w:commentReference w:id="24"/>
      </w: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sdt>
        <w:sdtPr>
          <w:tag w:val="goog_rdk_25"/>
          <w:id w:val="-467123115"/>
        </w:sdtPr>
        <w:sdtContent>
          <w:r>
            <w:rPr/>
          </w:r>
          <w:r>
            <w:rPr/>
          </w:r>
        </w:sdtContent>
      </w:sdt>
      <w:r>
        <w:rPr>
          <w:rFonts w:eastAsia="Times New Roman" w:ascii="Arial" w:hAnsi="Arial"/>
        </w:rPr>
        <w:t xml:space="preserve">Na wstępie wyjaśniamy, że zdajemy sobie sprawę z metrykalnego oznaczenia płci naszego dziecka jako żeńskiej, jednak podkreślamy, że w codziennym życiu syn funkcjonuję jako mężczyzna. W związku z tym, że tożsamość płciowa jest jednym z dóbr osobistych człowieka, we wniosku będziemy używać męskich form gramatycznych. Jednocześnie wskazujemy, że na co dzień syn używa imienia [...].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center"/>
        <w:rPr>
          <w:rFonts w:ascii="Arial" w:hAnsi="Arial"/>
        </w:rPr>
      </w:pPr>
      <w:r>
        <w:rPr>
          <w:rFonts w:eastAsia="Times New Roman" w:ascii="Arial" w:hAnsi="Arial"/>
          <w:b/>
        </w:rPr>
        <w:t>Uzasadnienie</w:t>
      </w:r>
    </w:p>
    <w:p>
      <w:pPr>
        <w:pStyle w:val="Normal"/>
        <w:spacing w:lineRule="auto" w:line="360"/>
        <w:jc w:val="center"/>
        <w:rPr>
          <w:rFonts w:ascii="Arial" w:hAnsi="Arial" w:eastAsia="Times New Roman"/>
        </w:rPr>
      </w:pPr>
      <w:r>
        <w:rPr>
          <w:rFonts w:eastAsia="Times New Roman" w:ascii="Arial" w:hAnsi="Arial"/>
        </w:rPr>
      </w:r>
    </w:p>
    <w:p>
      <w:pPr>
        <w:pStyle w:val="Normal"/>
        <w:spacing w:lineRule="auto" w:line="360"/>
        <w:jc w:val="both"/>
        <w:rPr>
          <w:rFonts w:ascii="Arial" w:hAnsi="Arial"/>
        </w:rPr>
      </w:pPr>
      <w:commentRangeStart w:id="25"/>
      <w:sdt>
        <w:sdtPr>
          <w:tag w:val="goog_rdk_26"/>
          <w:id w:val="-2084668801"/>
        </w:sdtPr>
        <w:sdtContent>
          <w:r>
            <w:rPr/>
          </w:r>
          <w:r>
            <w:rPr/>
          </w:r>
        </w:sdtContent>
      </w:sdt>
      <w:r>
        <w:rPr>
          <w:rFonts w:eastAsia="Times New Roman" w:ascii="Arial" w:hAnsi="Arial"/>
          <w:b/>
        </w:rPr>
        <w:t>TWIERDZENIA FAKTYCZNE</w:t>
      </w:r>
      <w:commentRangeEnd w:id="25"/>
      <w:r>
        <w:commentReference w:id="25"/>
      </w:r>
      <w:r>
        <w:rPr>
          <w:rFonts w:eastAsia="Times New Roman" w:ascii="Arial" w:hAnsi="Arial"/>
          <w:b/>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Wnioskodawca urodził się </w:t>
      </w:r>
      <w:commentRangeStart w:id="26"/>
      <w:r>
        <w:rPr>
          <w:rFonts w:eastAsia="Times New Roman" w:ascii="Arial" w:hAnsi="Arial"/>
        </w:rPr>
        <w:t xml:space="preserve">[…] </w:t>
      </w:r>
      <w:r>
        <w:rPr>
          <w:rFonts w:eastAsia="Times New Roman" w:ascii="Arial" w:hAnsi="Arial"/>
        </w:rPr>
      </w:r>
      <w:commentRangeEnd w:id="26"/>
      <w:r>
        <w:commentReference w:id="26"/>
      </w:r>
      <w:r>
        <w:rPr>
          <w:rFonts w:eastAsia="Times New Roman" w:ascii="Arial" w:hAnsi="Arial"/>
        </w:rPr>
        <w:t xml:space="preserve">r. w </w:t>
      </w:r>
      <w:commentRangeStart w:id="27"/>
      <w:r>
        <w:rPr>
          <w:rFonts w:eastAsia="Times New Roman" w:ascii="Arial" w:hAnsi="Arial"/>
        </w:rPr>
        <w:t>[…]</w:t>
      </w:r>
      <w:r>
        <w:rPr>
          <w:rFonts w:eastAsia="Times New Roman" w:ascii="Arial" w:hAnsi="Arial"/>
        </w:rPr>
      </w:r>
      <w:commentRangeEnd w:id="27"/>
      <w:r>
        <w:commentReference w:id="27"/>
      </w:r>
      <w:r>
        <w:rPr>
          <w:rFonts w:eastAsia="Times New Roman" w:ascii="Arial" w:hAnsi="Arial"/>
        </w:rPr>
        <w:t xml:space="preserve"> jako dziecko </w:t>
      </w:r>
      <w:commentRangeStart w:id="28"/>
      <w:r>
        <w:rPr>
          <w:rFonts w:eastAsia="Times New Roman" w:ascii="Arial" w:hAnsi="Arial"/>
        </w:rPr>
        <w:t>[…] oraz […].</w:t>
      </w:r>
      <w:r>
        <w:rPr>
          <w:rFonts w:eastAsia="Times New Roman" w:ascii="Arial" w:hAnsi="Arial"/>
        </w:rPr>
      </w:r>
      <w:commentRangeEnd w:id="28"/>
      <w:r>
        <w:commentReference w:id="28"/>
      </w:r>
      <w:r>
        <w:rPr>
          <w:rFonts w:eastAsia="Times New Roman" w:ascii="Arial" w:hAnsi="Arial"/>
        </w:rPr>
        <w:t xml:space="preserve"> Kierownik Urzędu Stanu Cywilnego w</w:t>
      </w:r>
      <w:commentRangeStart w:id="29"/>
      <w:r>
        <w:rPr>
          <w:rFonts w:eastAsia="Times New Roman" w:ascii="Arial" w:hAnsi="Arial"/>
        </w:rPr>
        <w:t xml:space="preserve"> </w:t>
      </w:r>
      <w:sdt>
        <w:sdtPr>
          <w:tag w:val="goog_rdk_27"/>
          <w:id w:val="-1614898114"/>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 xml:space="preserve">[...] </w:t>
      </w:r>
      <w:r>
        <w:rPr>
          <w:rFonts w:eastAsia="Times New Roman" w:ascii="Arial" w:hAnsi="Arial"/>
        </w:rPr>
      </w:r>
      <w:commentRangeEnd w:id="29"/>
      <w:r>
        <w:commentReference w:id="29"/>
      </w:r>
      <w:r>
        <w:rPr>
          <w:rFonts w:eastAsia="Times New Roman" w:ascii="Arial" w:hAnsi="Arial"/>
        </w:rPr>
        <w:t xml:space="preserve">zarejestrował jego urodzenie w akcie o numerze </w:t>
      </w:r>
      <w:commentRangeStart w:id="30"/>
      <w:sdt>
        <w:sdtPr>
          <w:tag w:val="goog_rdk_29"/>
          <w:id w:val="1566216036"/>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w:t>
      </w:r>
      <w:r>
        <w:rPr>
          <w:rFonts w:eastAsia="Times New Roman" w:ascii="Arial" w:hAnsi="Arial"/>
        </w:rPr>
      </w:r>
      <w:commentRangeEnd w:id="30"/>
      <w:r>
        <w:commentReference w:id="30"/>
      </w:r>
      <w:r>
        <w:rPr>
          <w:rFonts w:eastAsia="Times New Roman" w:ascii="Arial" w:hAnsi="Arial"/>
        </w:rPr>
        <w:t xml:space="preserve">. Jego płeć została tam oznaczona jako żeńska w oparciu o ocenę budowy anatomicznej przez personel medyczny. Nadano mu imię/imiona </w:t>
      </w:r>
      <w:sdt>
        <w:sdtPr>
          <w:tag w:val="goog_rdk_30"/>
          <w:id w:val="-1054070343"/>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i/>
        </w:rPr>
        <w:t>Dowód:</w:t>
        <w:tab/>
        <w:t xml:space="preserve"> odpis aktu urodzenia</w:t>
      </w:r>
    </w:p>
    <w:p>
      <w:pPr>
        <w:pStyle w:val="Normal"/>
        <w:spacing w:lineRule="auto" w:line="360"/>
        <w:jc w:val="both"/>
        <w:rPr>
          <w:rFonts w:ascii="Arial" w:hAnsi="Arial" w:eastAsia="Times New Roman"/>
          <w:i/>
        </w:rPr>
      </w:pPr>
      <w:r>
        <w:rPr>
          <w:rFonts w:eastAsia="Times New Roman" w:ascii="Arial" w:hAnsi="Arial"/>
          <w:i/>
        </w:rPr>
      </w:r>
    </w:p>
    <w:p>
      <w:pPr>
        <w:pStyle w:val="Normal"/>
        <w:spacing w:lineRule="auto" w:line="360"/>
        <w:jc w:val="both"/>
        <w:rPr>
          <w:rFonts w:ascii="Arial" w:hAnsi="Arial"/>
        </w:rPr>
      </w:pPr>
      <w:sdt>
        <w:sdtPr>
          <w:tag w:val="goog_rdk_31"/>
          <w:id w:val="1094523971"/>
          <w:placeholder>
            <w:docPart w:val="DefaultPlaceholder_1081868574"/>
          </w:placeholder>
        </w:sdtPr>
        <w:sdtContent>
          <w:r>
            <w:rPr/>
          </w:r>
          <w:r>
            <w:rPr/>
          </w:r>
        </w:sdtContent>
      </w:sdt>
      <w:r>
        <w:rPr>
          <w:rFonts w:eastAsia="Times New Roman" w:ascii="Arial" w:hAnsi="Arial"/>
        </w:rPr>
        <w:t xml:space="preserve">Około [...] roku życia zaczęło pojawiać się u Wnioskodawcy poczucie rozbieżności pomiędzy płcią przypisaną </w:t>
      </w:r>
      <w:r>
        <w:rPr>
          <w:rFonts w:eastAsia="Times New Roman" w:ascii="Arial" w:hAnsi="Arial"/>
        </w:rPr>
        <w:t>mu przy urodzeniu a jego tożsamością płciową. Doprowadziło to do wykształcenia się u niego dysforii, której towarzyszyło obniżenie nastroju. Pewność co do swojej męskiej tożsamości płciowej uzyskał około […] roku życia.</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U osób transpłciowych występuje niezgodność pomiędzy płcią przypisaną przy urodzeniu a tożsamością płciową, czyli głębokim wewnętrznym przeżywaniem własnej płci. Ta rozbieżność może prowadzić do dysforii, czyli uczucia dyskomfortu wynikającego z rozdźwięku pomiędzy różnymi aspektami naszej płci (cechami płciowymi naszego ciała, tym jak wyglądamy, tym jak odbierają nas inni). Nasilona dysforia może wiązać się z poważnymi negatywnymi skutkami dla zdrowia psychicznego osoby transpłciowej. Formalnie u osób transpłciowych diagnozuje się „transseksualizm” według nomenklatury ICD-10 (F64.0). Według najnowszej nomenklatury ICD-11, nie wszędzie jeszcze wdrożonej, formalnie diagnozuje się „niezgodność płciową” (HA60), którą zdefiniowano jako utrzymującą się wyraźną niezgodność między doświadczaną przez osobę płcią oraz płcią przypisaną. Stan „niezgodności płciowej” został wyjęty z obszaru dotyczącego zaburzeń psychicznych, a przeniesiony do obszaru dotyczącego zdrowia seksualnego. Sama transpłciowość w tym ujęciu nie jest już stanem „patologicznym”, „chorobą” czy „zaburzeniem”. Po uzgodnieniu płci w toku tranzycji medycznej i/lub społecznej, w tym prawnej, niezgodność ta zanika. W okresie dzieciństwa stawia się diagnozę F 64.2 (w przypadku ICD-10 – zaburzenia identyfikacji płciowej w dzieciństwie) lub HA61 (w przypadku ICD-11 – niezgodność płciowa w dzieciństwie). Jednak diagnostyka w okresie dojrzewania powinna się już zakończyć diagnozą analogiczną jak dla osób dorosłych.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 związku z głęboko przeżywanym poczuciem identyfikacji z płcią męską i występującą jednocześnie dysforią, Wnioskodawca przy wsparciu rodziców rozpoczął formalną diagnostykę u lekarzy specjalistów, w wyniku której otrzymał diagnozę F64.0 – transseksualizm według nomenklatury ICD-10 oraz HA60 – niezgodność płciowa według nomenklatury ICD-11. </w:t>
      </w:r>
      <w:commentRangeStart w:id="31"/>
      <w:r>
        <w:rPr>
          <w:rFonts w:eastAsia="Times New Roman" w:ascii="Arial" w:hAnsi="Arial"/>
        </w:rPr>
        <w:t xml:space="preserve">Proces diagnostyczny został przeprowadzony </w:t>
      </w:r>
      <w:sdt>
        <w:sdtPr>
          <w:tag w:val="goog_rdk_33"/>
          <w:id w:val="-2131774844"/>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przez lekarza psychiatrę/seksuologa/psychiatrę-seksuologa oraz przez psychologa</w:t>
      </w:r>
      <w:r>
        <w:rPr>
          <w:rFonts w:eastAsia="Times New Roman" w:ascii="Arial" w:hAnsi="Arial"/>
        </w:rPr>
      </w:r>
      <w:commentRangeEnd w:id="31"/>
      <w:r>
        <w:commentReference w:id="31"/>
      </w:r>
      <w:r>
        <w:rPr>
          <w:rFonts w:eastAsia="Times New Roman" w:ascii="Arial" w:hAnsi="Arial"/>
        </w:rPr>
        <w:t xml:space="preserve">, zgodnie z zaleceniami panelu ekspertów. W toku tego procesu przekazano wszystkie informacje niezbędne do wyrażenia przez Wnioskodawcę świadomej zgody, a także wykluczono wtórne (np. wynikające z zaburzeń psychicznych) pochodzenie </w:t>
      </w:r>
      <w:commentRangeStart w:id="32"/>
      <w:r>
        <w:rPr>
          <w:rFonts w:eastAsia="Times New Roman" w:ascii="Arial" w:hAnsi="Arial"/>
        </w:rPr>
        <w:t>dysforii płciowej / niezgodności płciowej</w:t>
      </w:r>
      <w:r>
        <w:rPr>
          <w:rFonts w:eastAsia="Times New Roman" w:ascii="Arial" w:hAnsi="Arial"/>
        </w:rPr>
      </w:r>
      <w:commentRangeEnd w:id="32"/>
      <w:r>
        <w:commentReference w:id="32"/>
      </w:r>
      <w:r>
        <w:rPr>
          <w:rFonts w:eastAsia="Times New Roman" w:ascii="Arial" w:hAnsi="Arial"/>
        </w:rPr>
        <w:t xml:space="preserve">. </w:t>
      </w:r>
      <w:commentRangeStart w:id="33"/>
      <w:r>
        <w:rPr>
          <w:rFonts w:eastAsia="Times New Roman" w:ascii="Arial" w:hAnsi="Arial"/>
        </w:rPr>
        <w:t xml:space="preserve">Specjaliści przeprowadzili podmiotowe badania psychologiczne, wywiad i </w:t>
      </w:r>
      <w:sdt>
        <w:sdtPr>
          <w:tag w:val="goog_rdk_34"/>
          <w:id w:val="1645390502"/>
          <w:placeholder>
            <w:docPart w:val="DefaultPlaceholder_1081868574"/>
          </w:placeholder>
        </w:sdtPr>
        <w:sdtContent>
          <w:r>
            <w:rPr>
              <w:rFonts w:eastAsia="Times New Roman" w:ascii="Arial" w:hAnsi="Arial"/>
            </w:rPr>
          </w:r>
          <w:r>
            <w:rPr>
              <w:rFonts w:eastAsia="Times New Roman" w:ascii="Arial" w:hAnsi="Arial"/>
            </w:rPr>
          </w:r>
        </w:sdtContent>
      </w:sdt>
      <w:r>
        <w:rPr>
          <w:rFonts w:eastAsia="Times New Roman" w:ascii="Arial" w:hAnsi="Arial"/>
        </w:rPr>
        <w:t xml:space="preserve">diagnostykę </w:t>
      </w:r>
      <w:r>
        <w:rPr>
          <w:rFonts w:eastAsia="Times New Roman" w:ascii="Arial" w:hAnsi="Arial"/>
        </w:rPr>
        <w:t>opartą o specjalistyczne, standaryzowane narzędzia.</w:t>
      </w:r>
      <w:r>
        <w:rPr>
          <w:rFonts w:eastAsia="Times New Roman" w:ascii="Arial" w:hAnsi="Arial"/>
        </w:rPr>
      </w:r>
      <w:commentRangeEnd w:id="33"/>
      <w:r>
        <w:commentReference w:id="33"/>
      </w:r>
      <w:r>
        <w:rPr>
          <w:rFonts w:eastAsia="Times New Roman" w:ascii="Arial" w:hAnsi="Arial"/>
        </w:rPr>
        <w:t xml:space="preserve"> Proces ten pozwolił na stwierdzenie, że występująca u Wnioskodawcy niezgodność płci jest trwała. </w:t>
      </w:r>
      <w:r>
        <w:rPr>
          <w:rFonts w:eastAsia="Times New Roman" w:ascii="Arial" w:hAnsi="Arial"/>
          <w:i/>
          <w:iCs/>
        </w:rPr>
        <w:t>W opinii psychologicznej zwrócono uwagę, że brak tranzycji medycznej i prawnej przyczynia się do trudności w obszarze zdrowia psychicznego i zarekomendowano dalszą prawną zmianę oznaczenia płci celem poprawy funkcjonowania Wnioskodawcy.</w:t>
      </w:r>
    </w:p>
    <w:p>
      <w:pPr>
        <w:pStyle w:val="Normal"/>
        <w:spacing w:lineRule="auto" w:line="360"/>
        <w:jc w:val="both"/>
        <w:rPr>
          <w:rFonts w:ascii="Arial" w:hAnsi="Arial" w:eastAsia="Times New Roman"/>
          <w:i/>
        </w:rPr>
      </w:pPr>
      <w:r>
        <w:rPr>
          <w:rFonts w:eastAsia="Times New Roman" w:ascii="Arial" w:hAnsi="Arial"/>
          <w:i/>
        </w:rPr>
      </w:r>
    </w:p>
    <w:p>
      <w:pPr>
        <w:pStyle w:val="Normal"/>
        <w:spacing w:lineRule="auto" w:line="360"/>
        <w:jc w:val="both"/>
        <w:rPr>
          <w:rFonts w:ascii="Arial" w:hAnsi="Arial"/>
        </w:rPr>
      </w:pPr>
      <w:commentRangeStart w:id="34"/>
      <w:r>
        <w:rPr>
          <w:rFonts w:eastAsia="Times New Roman" w:ascii="Arial" w:hAnsi="Arial"/>
        </w:rPr>
        <w:t>Od</w:t>
      </w:r>
      <w:sdt>
        <w:sdtPr>
          <w:tag w:val="goog_rdk_35"/>
          <w:id w:val="1591740298"/>
        </w:sdtPr>
        <w:sdtContent>
          <w:r>
            <w:rPr>
              <w:rFonts w:eastAsia="Times New Roman" w:ascii="Arial" w:hAnsi="Arial"/>
            </w:rPr>
          </w:r>
          <w:r>
            <w:rPr>
              <w:rFonts w:eastAsia="Times New Roman" w:ascii="Arial" w:hAnsi="Arial"/>
            </w:rPr>
          </w:r>
        </w:sdtContent>
      </w:sdt>
      <w:r>
        <w:rPr>
          <w:rFonts w:eastAsia="Times New Roman" w:ascii="Arial" w:hAnsi="Arial"/>
        </w:rPr>
        <w:t xml:space="preserve"> [...] wdrożono u Wnioskodawcy leczenie hormonalne. </w:t>
      </w:r>
      <w:r>
        <w:rPr>
          <w:rFonts w:eastAsia="Times New Roman" w:ascii="Arial" w:hAnsi="Arial"/>
        </w:rPr>
      </w:r>
      <w:commentRangeEnd w:id="34"/>
      <w:r>
        <w:commentReference w:id="34"/>
      </w:r>
      <w:r>
        <w:rPr>
          <w:rFonts w:eastAsia="Times New Roman" w:ascii="Arial" w:hAnsi="Arial"/>
        </w:rPr>
        <w:t>To oznacza, że przyjmuje on hormony, których celem jest maskulinizacja jego ciała. Zmiany, które temu towarzyszą, są przez niego odbierane pozytywnie.</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 sferze społecznej </w:t>
      </w:r>
      <w:sdt>
        <w:sdtPr>
          <w:tag w:val="goog_rdk_36"/>
          <w:id w:val="853146877"/>
        </w:sdtPr>
        <w:sdtContent>
          <w:r>
            <w:rPr>
              <w:rFonts w:eastAsia="Times New Roman" w:ascii="Arial" w:hAnsi="Arial"/>
            </w:rPr>
          </w:r>
          <w:r>
            <w:rPr>
              <w:rFonts w:eastAsia="Times New Roman" w:ascii="Arial" w:hAnsi="Arial"/>
            </w:rPr>
          </w:r>
        </w:sdtContent>
      </w:sdt>
      <w:r>
        <w:rPr>
          <w:rFonts w:eastAsia="Times New Roman" w:ascii="Arial" w:hAnsi="Arial"/>
        </w:rPr>
        <w:t xml:space="preserve">w </w:t>
      </w:r>
      <w:commentRangeStart w:id="35"/>
      <w:r>
        <w:rPr>
          <w:rFonts w:eastAsia="Times New Roman" w:ascii="Arial" w:hAnsi="Arial"/>
        </w:rPr>
        <w:t>większości obszarów / w niektórych obszarach</w:t>
      </w:r>
      <w:r>
        <w:rPr>
          <w:rFonts w:eastAsia="Times New Roman" w:ascii="Arial" w:hAnsi="Arial"/>
        </w:rPr>
      </w:r>
      <w:commentRangeEnd w:id="35"/>
      <w:r>
        <w:commentReference w:id="35"/>
      </w:r>
      <w:r>
        <w:rPr>
          <w:rFonts w:eastAsia="Times New Roman" w:ascii="Arial" w:hAnsi="Arial"/>
        </w:rPr>
        <w:t xml:space="preserve"> Wnioskodawca funkcjonuje zgodnie z jego męską tożsamością płciową. Wnioskodawca jest traktowana jako mężczyzna </w:t>
      </w:r>
      <w:r>
        <w:rPr>
          <w:rFonts w:eastAsia="Times New Roman" w:ascii="Arial" w:hAnsi="Arial"/>
          <w:i/>
          <w:iCs/>
        </w:rPr>
        <w:t>w rodzinie, wśród bliskich i przyjaciół</w:t>
      </w:r>
      <w:r>
        <w:rPr>
          <w:rFonts w:eastAsia="Times New Roman" w:ascii="Arial" w:hAnsi="Arial"/>
        </w:rPr>
        <w:t xml:space="preserve">. </w:t>
      </w:r>
      <w:r>
        <w:rPr>
          <w:rFonts w:eastAsia="Times New Roman" w:ascii="Arial" w:hAnsi="Arial"/>
          <w:i/>
          <w:iCs/>
        </w:rPr>
        <w:t>W szkole Wnioskodawca funkcjonuje jako chłopak</w:t>
      </w:r>
      <w:r>
        <w:rPr>
          <w:rFonts w:eastAsia="Times New Roman" w:ascii="Arial" w:hAnsi="Arial"/>
        </w:rPr>
        <w:t xml:space="preserve">. Na co dzień używa imienia [...].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Brak zmiany oznaczenia płci oraz imienia powoduje u Wnioskodawcy duże trudności w codziennym funkcjonowaniu. We wszystkich przypadkach, w których musi używać danych zawartych w akcie urodzenia lub okazywać legitymację szkolną, jego tożsamość jest kwestionowana z uwagi na wygląd, odpowiadający typowym wyobrażeniom o męskim wyglądzie. Zmusza go to do ujawniania osobom postronnym, że jest osobą transpłciową, co głęboko ingeruje w jego prywatność i pozbawia go szansy na decydowanie o tym, kto będzie wiedzieć o jego transpłciowości. Brak zmiany oznaczenia płci pozbawia go więc sprawczości i decyzyjności w jednym z kluczowych aspektów jego życia. Co więcej, brak zmiany danych wpływa też na możliwość podjęcia dalszych kroków w tranzycji medycznej. Utrudnia też możliwość funkcjonowania zgodnie z tożsamością płciową w toku nauki. Wszystkie oficjalne dokumenty, jak świadectwa, legitymacja szkolna, muszą być wystawiane na dane metrykalne.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Powyższe okoliczności wskazują jednoznacznie, że w przypadku małoletniego poczucie przynależności do płci męskiej jest trwałe i że uwzględnienie niniejszego wniosku jest uzasadnione.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commentRangeStart w:id="36"/>
      <w:r>
        <w:rPr>
          <w:rFonts w:eastAsia="Times New Roman" w:ascii="Arial" w:hAnsi="Arial"/>
          <w:b/>
        </w:rPr>
        <w:t>STAN PRAWNY</w:t>
      </w:r>
      <w:commentRangeEnd w:id="36"/>
      <w:r>
        <w:commentReference w:id="36"/>
      </w:r>
      <w:r>
        <w:rPr>
          <w:rFonts w:eastAsia="Times New Roman" w:ascii="Arial" w:hAnsi="Arial"/>
          <w:b/>
        </w:rPr>
      </w:r>
    </w:p>
    <w:p>
      <w:pPr>
        <w:pStyle w:val="Normal"/>
        <w:spacing w:lineRule="auto" w:line="360"/>
        <w:jc w:val="both"/>
        <w:rPr>
          <w:rFonts w:ascii="Arial" w:hAnsi="Arial" w:eastAsia="Times New Roman"/>
          <w:b/>
        </w:rPr>
      </w:pPr>
      <w:r>
        <w:rPr>
          <w:rFonts w:eastAsia="Times New Roman" w:ascii="Arial" w:hAnsi="Arial"/>
          <w:b/>
        </w:rPr>
      </w:r>
    </w:p>
    <w:p>
      <w:pPr>
        <w:pStyle w:val="Normal"/>
        <w:numPr>
          <w:ilvl w:val="0"/>
          <w:numId w:val="3"/>
        </w:numPr>
        <w:spacing w:lineRule="auto" w:line="360" w:before="0" w:after="200"/>
        <w:jc w:val="both"/>
        <w:rPr>
          <w:rFonts w:ascii="Arial" w:hAnsi="Arial"/>
        </w:rPr>
      </w:pPr>
      <w:r>
        <w:rPr>
          <w:rFonts w:eastAsia="Times New Roman" w:ascii="Arial" w:hAnsi="Arial"/>
          <w:b/>
        </w:rPr>
        <w:t>D</w:t>
      </w:r>
      <w:sdt>
        <w:sdtPr>
          <w:tag w:val="goog_rdk_38"/>
          <w:id w:val="78338264"/>
        </w:sdtPr>
        <w:sdtContent>
          <w:r>
            <w:rPr>
              <w:rFonts w:eastAsia="Times New Roman" w:ascii="Arial" w:hAnsi="Arial"/>
              <w:b/>
            </w:rPr>
          </w:r>
          <w:r>
            <w:rPr>
              <w:rFonts w:eastAsia="Times New Roman" w:ascii="Arial" w:hAnsi="Arial"/>
              <w:b/>
            </w:rPr>
          </w:r>
        </w:sdtContent>
      </w:sdt>
      <w:r>
        <w:rPr>
          <w:rFonts w:eastAsia="Times New Roman" w:ascii="Arial" w:hAnsi="Arial"/>
          <w:b/>
        </w:rPr>
        <w:t>opuszczalność wniosku o sprostowanie aktu urodzenia w trybie nieprocesowym i możliwość korzystania z dotychczasowej praktyki sądów okręgowych w sprawach o ustalenie płci w zakresie postępowania dowodowego.</w:t>
      </w:r>
    </w:p>
    <w:p>
      <w:pPr>
        <w:pStyle w:val="Normal"/>
        <w:spacing w:lineRule="auto" w:line="360"/>
        <w:ind w:left="72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Tak zwana tranzycja prawna dokonuje się w Polsce w oparciu o orzecznictwo Sądu Najwyższego. Kwestia ta, związana również z ewolucją orzecznictwa SN, została szczegółowo wyjaśniona w przewodniku biura RPO</w:t>
      </w:r>
      <w:r>
        <w:rPr>
          <w:rStyle w:val="FootnoteReference"/>
          <w:rFonts w:eastAsia="Times New Roman" w:ascii="Arial" w:hAnsi="Arial"/>
        </w:rPr>
        <w:footnoteReference w:id="2"/>
      </w:r>
      <w:r>
        <w:rPr>
          <w:rFonts w:eastAsia="Times New Roman" w:ascii="Arial" w:hAnsi="Arial"/>
        </w:rPr>
        <w:t>.</w:t>
      </w:r>
    </w:p>
    <w:p>
      <w:pPr>
        <w:pStyle w:val="Normal"/>
        <w:spacing w:lineRule="auto" w:line="360"/>
        <w:ind w:left="42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Przed 22 czerwca 1989 r., kiedy to Sąd Najwyższy wydał uchwałę w sprawie III CZP 37/89, korekta oznaczenia płci w akcie urodzenia dokonywana była w postępowaniu o sprostowanie aktu urodzenia. We wspomnianej uchwale SN wykluczył taką procedurę, ale dla samej doktryny i orzecznictwa było oczywiste, że sama możliwość korekty oznaczenia płci powinna istnieć. Dyskusyjna była jedynie podstawa prawna. Warto przy tym podkreślić, że uchwała SN z 1989 r. zapadła w innym stanie prawnym, gdy brzmienie przepisu dotyczącego aktu urodzenia wskazywało, że sprostować można tylko dane, które w momencie sporządzenia aktu były wpisane nieprawidłowo.</w:t>
      </w:r>
    </w:p>
    <w:p>
      <w:pPr>
        <w:pStyle w:val="Normal"/>
        <w:spacing w:lineRule="auto" w:line="360"/>
        <w:ind w:left="42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 xml:space="preserve">W postanowieniu z 22 marca 1991 r. (sygn. akt III CRN 28/91) Sąd Najwyższy uznał, że </w:t>
      </w:r>
      <w:r>
        <w:rPr>
          <w:rFonts w:eastAsia="Times New Roman" w:ascii="Arial" w:hAnsi="Arial"/>
          <w:b/>
          <w:bCs/>
        </w:rPr>
        <w:t xml:space="preserve">poczucie przynależności do danej płci jest dobrem osobistym w rozumieniu art. 23 k.c. </w:t>
      </w:r>
      <w:r>
        <w:rPr>
          <w:rFonts w:eastAsia="Times New Roman" w:ascii="Arial" w:hAnsi="Arial"/>
        </w:rPr>
        <w:t xml:space="preserve">i można dochodzić jego ochrony w trybie procesowym. W orzeczeniu tym SN przesądził też, że właściwym trybem dochodzenia korekty aktu urodzenia jest pozew o ustalenie, oparty o art. 189 k.p.c. w zw. z art. 23 k.c., </w:t>
      </w:r>
      <w:r>
        <w:rPr>
          <w:rFonts w:eastAsia="Times New Roman" w:ascii="Arial" w:hAnsi="Arial"/>
          <w:b/>
          <w:bCs/>
        </w:rPr>
        <w:t>którego przesłanką jest stwierdzenie trwałości poczucia przynależności do danej płci</w:t>
      </w:r>
      <w:r>
        <w:rPr>
          <w:rFonts w:eastAsia="Times New Roman" w:ascii="Arial" w:hAnsi="Arial"/>
        </w:rPr>
        <w:t xml:space="preserve">. W kolejnych orzeczeniach SN uzupełniał luki procedury, m.in. wypowiadając się o legitymacji biernej w sytuacji, gdy w sprawie nie ma rodziców czy o posiadaniu (lub nie) interesu prawnego w rozstrzygnięciu. Procedura była jednak co do zasady niekwestionowana. </w:t>
      </w:r>
    </w:p>
    <w:p>
      <w:pPr>
        <w:pStyle w:val="Normal"/>
        <w:spacing w:lineRule="auto" w:line="360"/>
        <w:ind w:left="42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4 marca 2025 r. skład całej Izby Cywilnej Sądu Najwyższego w sprawie III CZP 6/24 podjął uchwałę o następującej treści:</w:t>
      </w:r>
    </w:p>
    <w:p>
      <w:pPr>
        <w:pStyle w:val="Normal"/>
        <w:spacing w:lineRule="auto" w:line="360" w:before="0" w:after="200"/>
        <w:ind w:left="720"/>
        <w:jc w:val="both"/>
        <w:rPr>
          <w:rFonts w:ascii="Arial" w:hAnsi="Arial"/>
        </w:rPr>
      </w:pPr>
      <w:r>
        <w:rPr>
          <w:rFonts w:eastAsia="Times New Roman" w:ascii="Arial" w:hAnsi="Arial"/>
        </w:rPr>
        <w:t xml:space="preserve"> </w:t>
      </w:r>
    </w:p>
    <w:p>
      <w:pPr>
        <w:pStyle w:val="Normal"/>
        <w:spacing w:lineRule="auto" w:line="360"/>
        <w:ind w:left="700"/>
        <w:jc w:val="both"/>
        <w:rPr>
          <w:rFonts w:ascii="Arial" w:hAnsi="Arial"/>
        </w:rPr>
      </w:pPr>
      <w:r>
        <w:rPr>
          <w:rFonts w:eastAsia="Times New Roman" w:ascii="Arial" w:hAnsi="Arial"/>
          <w:i/>
        </w:rPr>
        <w:t xml:space="preserve">1. Żądanie zmiany oznaczenia płci w akcie urodzenia podlega rozpoznaniu przez sąd w postępowaniu nieprocesowym przy zastosowaniu w drodze analogii art. 36 ustawy z dnia 28 listopada 2014 r. – Prawo o aktach stanu cywilnego. </w:t>
      </w:r>
    </w:p>
    <w:p>
      <w:pPr>
        <w:pStyle w:val="Normal"/>
        <w:spacing w:lineRule="auto" w:line="360"/>
        <w:ind w:left="700"/>
        <w:jc w:val="both"/>
        <w:rPr>
          <w:rFonts w:ascii="Arial" w:hAnsi="Arial"/>
        </w:rPr>
      </w:pPr>
      <w:r>
        <w:rPr>
          <w:rFonts w:eastAsia="Times New Roman" w:ascii="Arial" w:hAnsi="Arial"/>
          <w:i/>
        </w:rPr>
        <w:t xml:space="preserve">2. Zmiana oznaczenia płci w akcie urodzenia może nastąpić wyłącznie na wniosek osoby, której dotyczy ten akt. </w:t>
      </w:r>
    </w:p>
    <w:p>
      <w:pPr>
        <w:pStyle w:val="Normal"/>
        <w:spacing w:lineRule="auto" w:line="360"/>
        <w:ind w:left="700"/>
        <w:jc w:val="both"/>
        <w:rPr>
          <w:rFonts w:ascii="Arial" w:hAnsi="Arial"/>
        </w:rPr>
      </w:pPr>
      <w:r>
        <w:rPr>
          <w:rFonts w:eastAsia="Times New Roman" w:ascii="Arial" w:hAnsi="Arial"/>
          <w:i/>
        </w:rPr>
        <w:t xml:space="preserve">3. Oprócz wnioskodawcy uczestnikiem postępowania może być tylko jego małżonek (art. 510 k.p.c.). </w:t>
      </w:r>
    </w:p>
    <w:p>
      <w:pPr>
        <w:pStyle w:val="Normal"/>
        <w:spacing w:lineRule="auto" w:line="360"/>
        <w:ind w:left="700"/>
        <w:jc w:val="both"/>
        <w:rPr>
          <w:rFonts w:ascii="Arial" w:hAnsi="Arial"/>
        </w:rPr>
      </w:pPr>
      <w:r>
        <w:rPr>
          <w:rFonts w:eastAsia="Times New Roman" w:ascii="Arial" w:hAnsi="Arial"/>
          <w:i/>
        </w:rPr>
        <w:t xml:space="preserve">4. Postanowienie uwzględniające wniosek wywołuje skutki od chwili uprawomocnienia się. </w:t>
      </w:r>
    </w:p>
    <w:p>
      <w:pPr>
        <w:pStyle w:val="Normal"/>
        <w:spacing w:lineRule="auto" w:line="36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 xml:space="preserve">Tym samym SN </w:t>
      </w:r>
      <w:r>
        <w:rPr>
          <w:rFonts w:eastAsia="Times New Roman" w:ascii="Arial" w:hAnsi="Arial"/>
          <w:i/>
        </w:rPr>
        <w:t>de facto</w:t>
      </w:r>
      <w:r>
        <w:rPr>
          <w:rFonts w:eastAsia="Times New Roman" w:ascii="Arial" w:hAnsi="Arial"/>
        </w:rPr>
        <w:t xml:space="preserve"> powrócił do koncepcji obowiązującej przed 1989 r. W ustnym uzasadnieniu (do dnia złożenia wniosku nie opublikowano uzasadnienia na piśmie</w:t>
      </w:r>
      <w:r>
        <w:rPr>
          <w:rStyle w:val="FootnoteReference"/>
          <w:rFonts w:eastAsia="Times New Roman" w:ascii="Arial" w:hAnsi="Arial"/>
        </w:rPr>
        <w:footnoteReference w:id="3"/>
      </w:r>
      <w:r>
        <w:rPr>
          <w:rFonts w:eastAsia="Times New Roman" w:ascii="Arial" w:hAnsi="Arial"/>
        </w:rPr>
        <w:t xml:space="preserve">) Sąd Najwyższy zwrócił uwagę, że 28 listopada 2014 r. przyjęta została ustawa Prawo o aktach stanu cywilnego, która zmieniła podstawy i przesłanki sprostowania aktu urodzenia, a ponadto jednoznacznie określiła płeć człowieka jako element stanu cywilnego (art. 2 ust. 1 w zw. z art. 49 ust. 2 pkt. 1 p.a.s.c.). SN podkreślił, że wynik postępowania o zmianę oznaczenia płci dotyczy jedynie praw osobistych wnioskodawcy i podkreślił osobisty charakter tego typu spraw. Odnotował, że konstrukcja i mechanizmy trybu nieprocesowego w większym stopniu uwzględniają okoliczności ze sfery interesu publicznego, a także minimalizują wątpliwości odnoszące się do zagadnienia legitymacji procesowej. W szczególności przejście do trybu nieprocesowego pozwala na ominięcie tworzenia „sztucznego” pozwanego (o którym mówił SN m.in. w wyroku z 2019 r.), a także pozwala na skorzystanie gwarantowanej przez p.a.s.c. skuteczności </w:t>
      </w:r>
      <w:r>
        <w:rPr>
          <w:rFonts w:eastAsia="Times New Roman" w:ascii="Arial" w:hAnsi="Arial"/>
          <w:i/>
        </w:rPr>
        <w:t>erga omnes</w:t>
      </w:r>
      <w:r>
        <w:rPr>
          <w:rFonts w:eastAsia="Times New Roman" w:ascii="Arial" w:hAnsi="Arial"/>
        </w:rPr>
        <w:t xml:space="preserve"> wydanego rozstrzygnięcia.</w:t>
      </w:r>
    </w:p>
    <w:p>
      <w:pPr>
        <w:pStyle w:val="Normal"/>
        <w:spacing w:lineRule="auto" w:line="36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Choć wydanie powyższej uchwały wywołało kontrowersje i niepewność, zwłaszcza wobec faktu, że w składzie wydającym uchwałę zasiadali sędziowie powołani na stanowisko sędziego przez Krajową Radę Sądownictwa ukształtowaną na podstawie przepisów ustawy z dnia 8 grudnia 2017 r. o zmianie ustawy o Krajowej Radzie Sądownictwa</w:t>
      </w:r>
      <w:r>
        <w:rPr>
          <w:rStyle w:val="FootnoteReference"/>
          <w:rFonts w:eastAsia="Times New Roman" w:ascii="Arial" w:hAnsi="Arial"/>
        </w:rPr>
        <w:footnoteReference w:id="4"/>
      </w:r>
      <w:r>
        <w:rPr>
          <w:rFonts w:eastAsia="Times New Roman" w:ascii="Arial" w:hAnsi="Arial"/>
        </w:rPr>
        <w:t xml:space="preserve">, </w:t>
      </w:r>
      <w:r>
        <w:rPr>
          <w:rFonts w:eastAsia="Times New Roman" w:ascii="Arial" w:hAnsi="Arial"/>
          <w:b/>
        </w:rPr>
        <w:t>bez względu na to, czy uchwałę należy uznawać za ważną czy nie, należy co do zasady uznać słuszność rozumowania SN</w:t>
      </w:r>
      <w:r>
        <w:rPr>
          <w:rFonts w:eastAsia="Times New Roman" w:ascii="Arial" w:hAnsi="Arial"/>
        </w:rPr>
        <w:t>. W doktrynie i wśród praktyków od lat wskazywano, że uchwała z 1989 r. utrudniła, a nie uprościła postępowanie o zmianę oznaczenia płci i że jej treść wynikała przede wszystkim z ówczesnego brzmienia przepisów dotyczących sprostowania aktu urodzenia. Od lat podnoszono, że bardziej odpowiednim trybem byłby tryb nieprocesowy, który nie stawia konieczności spełniania sztucznego wymogu – istnienia strony pozwanej i pozywania rodziców. Uchwała SN słusznie podkreśla osobisty charakter spraw o zmianę oznaczenia płci i wskazuje na to, że płeć jest już jednoznacznie elementem prawa stanu. Należy więc aprobująco odnieść się do tezy, że zmiana oznaczenia płci powinna nastąpić w drodze wniosku o sprostowanie aktu urodzenia przy zastosowaniu w drodze analogii art. 36 p.a.s.c.</w:t>
      </w:r>
    </w:p>
    <w:p>
      <w:pPr>
        <w:pStyle w:val="Normal"/>
        <w:spacing w:lineRule="auto" w:line="360"/>
        <w:ind w:left="42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Za stosowaniem w drodze analogii postępowania o sprostowanie aktu urodzenia przemawia również międzynarodowy standard dotyczący procedury zmiany oznaczenia płci. Konieczność istnienia procedury pozwalającej na zmianę oznaczenia płci w akcie urodzenia i dokumentach potwierdza m.in. orzecznictwo Europejskiego Trybunału Praw Człowieka. Wielka Izba Trybunału w sprawie Goodwin przeciwko Zjednoczonemu Królestwu (wyrok z 11 lipca 2022 r., skarga nr 28957/95) uznała, że państwa – strony EKPC – </w:t>
      </w:r>
      <w:r>
        <w:rPr>
          <w:rFonts w:eastAsia="Times New Roman" w:ascii="Arial" w:hAnsi="Arial"/>
          <w:b/>
          <w:bCs/>
        </w:rPr>
        <w:t>mają pozytywny obowiązek zapewnienia procedury prawnego uzgodnienia płci dla osoby transpłciowej</w:t>
      </w:r>
      <w:r>
        <w:rPr>
          <w:rFonts w:eastAsia="Times New Roman" w:ascii="Arial" w:hAnsi="Arial"/>
        </w:rPr>
        <w:t xml:space="preserve">. W kolejnych orzeczeniach Trybunał wskazywał na konieczność zapewnienia, by procedura ta była </w:t>
      </w:r>
      <w:r>
        <w:rPr>
          <w:rFonts w:eastAsia="Times New Roman" w:ascii="Arial" w:hAnsi="Arial"/>
          <w:b/>
          <w:bCs/>
        </w:rPr>
        <w:t xml:space="preserve">efektywna i łatwo dostępna </w:t>
      </w:r>
      <w:r>
        <w:rPr>
          <w:rFonts w:eastAsia="Times New Roman" w:ascii="Arial" w:hAnsi="Arial"/>
        </w:rPr>
        <w:t xml:space="preserve">(X przeciwko Byłej Jugosłowiańskiej Republice Macedonii, wyrok z 17 kwietnia 2019 r., skarga nr 29683/16), </w:t>
      </w:r>
      <w:r>
        <w:rPr>
          <w:rFonts w:eastAsia="Times New Roman" w:ascii="Arial" w:hAnsi="Arial"/>
          <w:b/>
          <w:bCs/>
        </w:rPr>
        <w:t xml:space="preserve">szybka </w:t>
      </w:r>
      <w:r>
        <w:rPr>
          <w:rFonts w:eastAsia="Times New Roman" w:ascii="Arial" w:hAnsi="Arial"/>
        </w:rPr>
        <w:t>(w sprawie S.V. przeciwko Włochom okres 2 lat prowadzenia postępowania uznano za zbyt długi i naruszający art. 8 EKPC),</w:t>
      </w:r>
      <w:r>
        <w:rPr>
          <w:rFonts w:eastAsia="Times New Roman" w:ascii="Arial" w:hAnsi="Arial"/>
          <w:b/>
          <w:bCs/>
        </w:rPr>
        <w:t xml:space="preserve"> bez uzależnienia od wymogu kilkuletniego okresu obserwacji</w:t>
      </w:r>
      <w:r>
        <w:rPr>
          <w:rFonts w:eastAsia="Times New Roman" w:ascii="Arial" w:hAnsi="Arial"/>
        </w:rPr>
        <w:t xml:space="preserve"> (Schlumpf przeciwko Szwajcarii, wyrok z 8 stycznia 2009 r., skarga nr 29002/06). </w:t>
      </w:r>
      <w:r>
        <w:rPr>
          <w:rFonts w:eastAsia="Times New Roman" w:ascii="Arial" w:hAnsi="Arial"/>
          <w:b/>
          <w:bCs/>
        </w:rPr>
        <w:t>Nie można również wprowadzać wymogu przechodzenia określonych zabiegów medycznych, w tym chirurgicznych</w:t>
      </w:r>
      <w:r>
        <w:rPr>
          <w:rFonts w:eastAsia="Times New Roman" w:ascii="Arial" w:hAnsi="Arial"/>
        </w:rPr>
        <w:t xml:space="preserve"> (Y.Y. przeciwko Turcji, A.P. Garçon &amp; Nicot przeciwko Francji). Wyrok S.V. przeciwko Włochom jasno pokazał, że prawo do prywatności (art. 8 EKPC) należy obecnie wiązać z prawem do wolności, autonomii i prawem do samostanowienia. Z praw tych wynika, że życie prywatne człowieka obejmuje także tożsamość psychiczną i społeczną człowieka, w tym jego identyfikację płciową, którą państwo ma obowiązek uszanować.</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Wymóg, by procedura zmiany oznaczenia płci była </w:t>
      </w:r>
      <w:r>
        <w:rPr>
          <w:rFonts w:eastAsia="Times New Roman" w:ascii="Arial" w:hAnsi="Arial"/>
          <w:b/>
          <w:bCs/>
        </w:rPr>
        <w:t>szybka, łatwo dostępna i respektowała tożsamość płciową jednostki</w:t>
      </w:r>
      <w:r>
        <w:rPr>
          <w:rFonts w:eastAsia="Times New Roman" w:ascii="Arial" w:hAnsi="Arial"/>
        </w:rPr>
        <w:t xml:space="preserve"> można znaleźć również w innych aktach i dokumentach międzynarodowych. Na poziomie europejskim jednym z kluczowych dokumentów poruszających tematykę uzgodnienia płci jest zalecenie CM/Rec(2010)5, przyjęte przez Komitet Ministrów Rady Europy w 2010 r.</w:t>
      </w:r>
      <w:r>
        <w:rPr>
          <w:rStyle w:val="FootnoteReference"/>
          <w:rFonts w:eastAsia="Times New Roman" w:ascii="Arial" w:hAnsi="Arial"/>
        </w:rPr>
        <w:footnoteReference w:id="5"/>
      </w:r>
      <w:r>
        <w:rPr>
          <w:rFonts w:eastAsia="Times New Roman" w:ascii="Arial" w:hAnsi="Arial"/>
        </w:rPr>
        <w:t xml:space="preserve"> czy Zalecenie nr 17 dotyczące Ogólnej Polityki Europejskiej Komisji Przeciwko Rasizmowi i Nietolerancji w sprawie zapobiegania i zwalczania nietolerancji i dyskryminacji przeciwko osobom LGBTI</w:t>
      </w:r>
      <w:r>
        <w:rPr>
          <w:rStyle w:val="FootnoteReference"/>
          <w:rFonts w:eastAsia="Times New Roman" w:ascii="Arial" w:hAnsi="Arial"/>
        </w:rPr>
        <w:footnoteReference w:id="6"/>
      </w:r>
      <w:r>
        <w:rPr>
          <w:rFonts w:eastAsia="Times New Roman" w:ascii="Arial" w:hAnsi="Arial"/>
        </w:rPr>
        <w:t xml:space="preserve">. Niezależny Ekspert ONZ ds. ochrony przed przemocą i dyskryminacją opartych na orientacji seksualnej i tożsamości płciowej wskazał, że „procedura prawnego uzgodnienia płci pozwalająca osobom transpłciowym na zmianę imienia i oznaczenia płci w dokumentach </w:t>
      </w:r>
      <w:r>
        <w:rPr>
          <w:rFonts w:eastAsia="Times New Roman" w:ascii="Arial" w:hAnsi="Arial"/>
          <w:b/>
          <w:bCs/>
        </w:rPr>
        <w:t>powinna być prostym postępowaniem administracyjnym opartym na samookreśleniu wnioskodawcy, powinna być dostępna i, tak dalece, jak to możliwe, wolna od kosztów</w:t>
      </w:r>
      <w:r>
        <w:rPr>
          <w:rFonts w:eastAsia="Times New Roman" w:ascii="Arial" w:hAnsi="Arial"/>
        </w:rPr>
        <w:t>”</w:t>
      </w:r>
      <w:r>
        <w:rPr>
          <w:rStyle w:val="FootnoteReference"/>
          <w:rFonts w:eastAsia="Times New Roman" w:ascii="Arial" w:hAnsi="Arial"/>
        </w:rPr>
        <w:footnoteReference w:id="7"/>
      </w:r>
      <w:r>
        <w:rPr>
          <w:rFonts w:eastAsia="Times New Roman" w:ascii="Arial" w:hAnsi="Arial"/>
        </w:rPr>
        <w:t>.</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Mając na uwadze standard międzynarodowy, można jednoznacznie stwierdzić, że postępowaniem, które w większym stopniu chroni prywatność jednostki, uznaje podmiotowość osoby transpłciowej i ma szansę być szybkie, efektywne i łatwo dostępne, jest właśnie postępowanie nieprocesowe o sprostowanie aktu urodzenia.</w:t>
      </w:r>
    </w:p>
    <w:p>
      <w:pPr>
        <w:pStyle w:val="Normal"/>
        <w:spacing w:lineRule="auto" w:line="360"/>
        <w:ind w:left="42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Jednocześnie należy zauważyć, że brak jest powodów, by uznać za nieaktualne te tezy płynące z orzeczeń Sądu Najwyższego i sądów powszechnych wydanych w ostatnich 36 latach, które nie dotyczyły trybu postępowania i osób legitymowanych w procesie o ustalenie płci.</w:t>
      </w:r>
      <w:r>
        <w:rPr>
          <w:rFonts w:eastAsia="Times New Roman" w:ascii="Arial" w:hAnsi="Arial"/>
          <w:b/>
          <w:bCs/>
        </w:rPr>
        <w:t xml:space="preserve"> W szczególności aktualna pozostaje teza, że tożsamość płciowa jest dobrem osobistym jednostki w rozumieniu art. 23 k.c. i że w postępowaniu należy wykazać trwałość poczucia przynależności do danej płci.</w:t>
      </w:r>
      <w:r>
        <w:rPr>
          <w:rFonts w:eastAsia="Times New Roman" w:ascii="Arial" w:hAnsi="Arial"/>
        </w:rPr>
        <w:t xml:space="preserve"> Zarówno pozew o ustalenie płci, jak i obecnie wniosek o sprostowanie aktu urodzenia wywołują ten sam skutek – w akcie urodzenia nanoszona jest wzmianka dodatkowa o orzeczeniu sądowym. Przemawia to za stosowaniem dotychczasowych standardów do uznania, czy spełnione zostały przesłanki zmiany oznaczenia płci w akcie urodzenia.</w:t>
      </w:r>
    </w:p>
    <w:p>
      <w:pPr>
        <w:pStyle w:val="Normal"/>
        <w:spacing w:lineRule="auto" w:line="360"/>
        <w:jc w:val="both"/>
        <w:rPr>
          <w:rFonts w:ascii="Arial" w:hAnsi="Arial"/>
        </w:rPr>
      </w:pPr>
      <w:r>
        <w:rPr>
          <w:rFonts w:eastAsia="Times New Roman" w:ascii="Arial" w:hAnsi="Arial"/>
        </w:rPr>
        <w:t xml:space="preserve"> </w:t>
      </w:r>
    </w:p>
    <w:p>
      <w:pPr>
        <w:pStyle w:val="Normal"/>
        <w:spacing w:lineRule="auto" w:line="360"/>
        <w:jc w:val="both"/>
        <w:rPr>
          <w:rFonts w:ascii="Arial" w:hAnsi="Arial"/>
        </w:rPr>
      </w:pPr>
      <w:r>
        <w:rPr>
          <w:rFonts w:eastAsia="Times New Roman" w:ascii="Arial" w:hAnsi="Arial"/>
        </w:rPr>
        <w:t xml:space="preserve">Rzecznik Praw Obywatelskich w swoich rekomendacjach wskazywał, że osoba dochodząca ustalenia płci [obecnie zmiany oznaczenia płci w wyniku wniosku o sprostowanie aktu urodzenia] </w:t>
      </w:r>
      <w:r>
        <w:rPr>
          <w:rFonts w:eastAsia="Times New Roman" w:ascii="Arial" w:hAnsi="Arial"/>
          <w:b/>
          <w:bCs/>
        </w:rPr>
        <w:t xml:space="preserve">powinna wykazać trwałość poczucia przynależności do danej płci, co zasadniczo powinno nastąpić poprzez przedstawienie formalnej diagnozy.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 lutym 2025 r. w wersji angielskiej, a w maju 2025 r. w wersji polskiej, ukazały się polskie </w:t>
      </w:r>
      <w:r>
        <w:rPr>
          <w:rFonts w:eastAsia="Times New Roman" w:ascii="Arial" w:hAnsi="Arial"/>
          <w:i/>
          <w:iCs/>
        </w:rPr>
        <w:t>Ramowe zalecenia dotyczące procesu opieki nad zdrowiem nastoletnich osób transpłciowych (T) i niebinarnych (NB) doświadczających dysforii płciowej – stanowisko panelu ekspertów</w:t>
      </w:r>
      <w:r>
        <w:rPr>
          <w:rStyle w:val="FootnoteReference"/>
          <w:rFonts w:eastAsia="Times New Roman" w:ascii="Arial" w:hAnsi="Arial"/>
        </w:rPr>
        <w:footnoteReference w:id="8"/>
      </w:r>
      <w:r>
        <w:rPr>
          <w:rFonts w:eastAsia="Times New Roman" w:ascii="Arial" w:hAnsi="Arial"/>
          <w:i/>
          <w:iCs/>
        </w:rPr>
        <w:t xml:space="preserve">. </w:t>
      </w:r>
      <w:r>
        <w:rPr>
          <w:rFonts w:eastAsia="Times New Roman" w:ascii="Arial" w:hAnsi="Arial"/>
        </w:rPr>
        <w:t xml:space="preserve">Jak wynika z treści dokumentu, jego autorzy nie uzależniają ani diagnostyki ani wdrożenia leczenia hormonalnego od wieku dziecka, wskazując, że decyzje kliniczne muszą być zawsze dostosowane do sytuacji danej osoby. W kwestii diagnostyki zalecenia wskazują na konieczność przejścia przez diagnozę, którą mają przeprowadzić specjaliści. </w:t>
      </w:r>
      <w:r>
        <w:rPr>
          <w:rFonts w:eastAsia="Times New Roman" w:ascii="Arial" w:hAnsi="Arial"/>
          <w:b/>
          <w:bCs/>
        </w:rPr>
        <w:t>Ma to być multidyscyplinarny zespół składający się ze współpracujących ze sobą psychiatry dzieci i młodzieży oraz psychologa wykwalifikowanego w obszarze niezgodności płciowej.</w:t>
      </w:r>
      <w:r>
        <w:rPr>
          <w:rFonts w:eastAsia="Times New Roman" w:ascii="Arial" w:hAnsi="Arial"/>
        </w:rPr>
        <w:t xml:space="preserve"> </w:t>
      </w:r>
      <w:r>
        <w:rPr>
          <w:rFonts w:eastAsia="Times New Roman" w:ascii="Arial" w:hAnsi="Arial"/>
          <w:i/>
          <w:iCs/>
        </w:rPr>
        <w:t>Zalecenia</w:t>
      </w:r>
      <w:r>
        <w:rPr>
          <w:rFonts w:eastAsia="Times New Roman" w:ascii="Arial" w:hAnsi="Arial"/>
        </w:rPr>
        <w:t xml:space="preserve"> wskazują, że preferowani są lekarze i psychologowie będący również seksuologami, ale nie jest to bezwzględny wymóg. </w:t>
      </w:r>
      <w:r>
        <w:rPr>
          <w:rFonts w:eastAsia="Times New Roman" w:ascii="Arial" w:hAnsi="Arial"/>
          <w:b/>
          <w:bCs/>
        </w:rPr>
        <w:t>Współistniejące problemy ze zdrowiem psychicznym nie są traktowane jako przeciwwskazanie do tranzycji</w:t>
      </w:r>
      <w:r>
        <w:rPr>
          <w:rFonts w:eastAsia="Times New Roman" w:ascii="Arial" w:hAnsi="Arial"/>
        </w:rPr>
        <w:t xml:space="preserve">, o ile osoba otrzymuje już odpowiednią opiekę psychologiczną lub same te objawy uznane są w trakcie diagnozy za spowodowane dysforią płciową. </w:t>
      </w:r>
      <w:r>
        <w:rPr>
          <w:rFonts w:eastAsia="Times New Roman" w:ascii="Arial" w:hAnsi="Arial"/>
          <w:b/>
          <w:bCs/>
        </w:rPr>
        <w:t>Przeciwwskazaniem nie jest też bycie osobą neuroatypową</w:t>
      </w:r>
      <w:r>
        <w:rPr>
          <w:rFonts w:eastAsia="Times New Roman" w:ascii="Arial" w:hAnsi="Arial"/>
        </w:rPr>
        <w:t xml:space="preserve">. Diagnoza psychologiczna może obejmować testy psychologiczne, o ile są one dopasowane do potrzeb i sytuacji konkretnej osoby. Podjęcie się psychoterapii nie powinno stanowić wymogu dla interwencji medycznych poza konkretnymi, uzasadnionymi przypadkami. Jednoznacznie potępione zostają próby oddziaływania na tożsamość płciową. </w:t>
      </w:r>
      <w:r>
        <w:rPr>
          <w:rFonts w:eastAsia="Times New Roman" w:ascii="Arial" w:hAnsi="Arial"/>
          <w:i/>
          <w:iCs/>
        </w:rPr>
        <w:t>Zalecenia</w:t>
      </w:r>
      <w:r>
        <w:rPr>
          <w:rFonts w:eastAsia="Times New Roman" w:ascii="Arial" w:hAnsi="Arial"/>
        </w:rPr>
        <w:t xml:space="preserve"> wskazują, że tempo i rozłożenie w czasie wizyt diagnostycznych powinno być dostosowane do potrzeb danej osoby pacjenckiej, jednakże, o ile nie ma jasnych przeciwwskazań,</w:t>
      </w:r>
      <w:r>
        <w:rPr>
          <w:rFonts w:eastAsia="Times New Roman" w:ascii="Arial" w:hAnsi="Arial"/>
          <w:b/>
          <w:bCs/>
        </w:rPr>
        <w:t xml:space="preserve"> ta część diagnostyki nie powinna trwać powyżej 6 miesięcy</w:t>
      </w:r>
      <w:r>
        <w:rPr>
          <w:rFonts w:eastAsia="Times New Roman" w:ascii="Arial" w:hAnsi="Arial"/>
        </w:rPr>
        <w:t>. Co więcej, autorzy dokumentu otwarcie wskazują na możliwość powstania sytuacji, w których </w:t>
      </w:r>
      <w:r>
        <w:rPr>
          <w:rFonts w:eastAsia="Times New Roman" w:ascii="Arial" w:hAnsi="Arial"/>
          <w:b/>
          <w:bCs/>
        </w:rPr>
        <w:t>przedłużanie procesu diagnostycznego może samo w sobie stanowić zagrożenie dla zdrowia</w:t>
      </w:r>
      <w:r>
        <w:rPr>
          <w:rStyle w:val="FootnoteReference"/>
          <w:rFonts w:eastAsia="Times New Roman" w:ascii="Arial" w:hAnsi="Arial"/>
        </w:rPr>
        <w:footnoteReference w:id="9"/>
      </w:r>
      <w:r>
        <w:rPr>
          <w:rFonts w:eastAsia="Times New Roman" w:ascii="Arial" w:hAnsi="Arial"/>
        </w:rPr>
        <w:t>.</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Wykazanie przez osobę transpłciową, że dysponuje diagnozą postawioną przez ekspertów zgodnie z zaleceniami panelu ekspertów, jest wystarczające do stwierdzenia trwałości jej poczucia przynależności do płci, której ustalenia się domaga, a tym samym jest wystarczające do wydania postanowienia uwzględniającego wniosek.</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eastAsia="Times New Roman"/>
        </w:rPr>
      </w:pPr>
      <w:r>
        <w:rPr>
          <w:rFonts w:eastAsia="Times New Roman" w:ascii="Arial" w:hAnsi="Arial"/>
        </w:rPr>
      </w:r>
    </w:p>
    <w:p>
      <w:pPr>
        <w:pStyle w:val="Normal"/>
        <w:numPr>
          <w:ilvl w:val="0"/>
          <w:numId w:val="3"/>
        </w:numPr>
        <w:spacing w:lineRule="auto" w:line="360"/>
        <w:jc w:val="both"/>
        <w:rPr>
          <w:rFonts w:ascii="Arial" w:hAnsi="Arial"/>
        </w:rPr>
      </w:pPr>
      <w:commentRangeStart w:id="37"/>
      <w:r>
        <w:rPr>
          <w:rFonts w:eastAsia="Times New Roman" w:ascii="Arial" w:hAnsi="Arial"/>
          <w:b/>
        </w:rPr>
        <w:t>Uzasadnienie wniosku o rozpoznanie sprawy na posiedzeniu niejawnym na podstawie dokumentacji przedstawionej przez Wnioskodawcę, bez powoływania biegłego.</w:t>
      </w:r>
      <w:commentRangeEnd w:id="37"/>
      <w:r>
        <w:commentReference w:id="37"/>
      </w:r>
      <w:r>
        <w:rPr>
          <w:rFonts w:eastAsia="Times New Roman" w:ascii="Arial" w:hAnsi="Arial"/>
          <w:b/>
        </w:rPr>
      </w:r>
    </w:p>
    <w:p>
      <w:pPr>
        <w:pStyle w:val="Normal"/>
        <w:spacing w:lineRule="auto" w:line="360" w:before="0" w:after="80"/>
        <w:jc w:val="both"/>
        <w:rPr>
          <w:rFonts w:ascii="Arial" w:hAnsi="Arial" w:eastAsia="Times New Roman"/>
        </w:rPr>
      </w:pPr>
      <w:r>
        <w:rPr>
          <w:rFonts w:eastAsia="Times New Roman" w:ascii="Arial" w:hAnsi="Arial"/>
        </w:rPr>
      </w:r>
    </w:p>
    <w:p>
      <w:pPr>
        <w:pStyle w:val="Normal"/>
        <w:spacing w:lineRule="auto" w:line="360" w:before="0" w:after="80"/>
        <w:jc w:val="both"/>
        <w:rPr>
          <w:rFonts w:ascii="Arial" w:hAnsi="Arial"/>
        </w:rPr>
      </w:pPr>
      <w:r>
        <w:rPr>
          <w:rFonts w:eastAsia="Times New Roman" w:ascii="Arial" w:hAnsi="Arial"/>
        </w:rPr>
        <w:t xml:space="preserve">Opisane wyżej okoliczności dowodzą jednoznacznie, że wniosek jest zasadny. </w:t>
      </w:r>
      <w:r>
        <w:rPr>
          <w:rFonts w:eastAsia="Times New Roman" w:ascii="Arial" w:hAnsi="Arial"/>
          <w:b/>
        </w:rPr>
        <w:t xml:space="preserve">Jednocześnie, jako że wszystkie istotne w sprawie okoliczności wynikają z dokumentów, zasadne jest rozpoznanie sprawy na posiedzeniu niejawnym. </w:t>
      </w:r>
      <w:r>
        <w:rPr>
          <w:rFonts w:eastAsia="Times New Roman" w:ascii="Arial" w:hAnsi="Arial"/>
        </w:rPr>
        <w:t xml:space="preserve">W postępowaniu nieprocesowym rozpoznanie sprawy na posiedzeniu niejawnym jest sposobem domyślnym (art. 514 k.p.c.), a do wyjątków należy rozpoznawanie ich na rozprawie. </w:t>
      </w:r>
    </w:p>
    <w:p>
      <w:pPr>
        <w:pStyle w:val="Normal"/>
        <w:spacing w:lineRule="auto" w:line="360" w:before="0" w:after="80"/>
        <w:jc w:val="both"/>
        <w:rPr>
          <w:rFonts w:ascii="Arial" w:hAnsi="Arial"/>
        </w:rPr>
      </w:pPr>
      <w:r>
        <w:rPr>
          <w:rFonts w:eastAsia="Times New Roman" w:ascii="Arial" w:hAnsi="Arial"/>
        </w:rPr>
        <w:t>W szczególności w niniejszym postępowaniu nie ma konieczności sięgania po dowód z opinii biegłego przed wydaniem orzeczenia. Jak wskazano w przewodniku przygotowanym przez RPO, który w tym zakresie zachowuje swoją aktualność:</w:t>
      </w:r>
    </w:p>
    <w:p>
      <w:pPr>
        <w:pStyle w:val="Normal"/>
        <w:spacing w:lineRule="auto" w:line="360" w:before="0" w:after="80"/>
        <w:ind w:left="1420"/>
        <w:jc w:val="both"/>
        <w:rPr>
          <w:rFonts w:ascii="Arial" w:hAnsi="Arial"/>
        </w:rPr>
      </w:pPr>
      <w:r>
        <w:rPr>
          <w:rFonts w:eastAsia="Times New Roman" w:ascii="Arial" w:hAnsi="Arial"/>
          <w:i/>
        </w:rPr>
        <w:t xml:space="preserve">Kluczową kwestią do oceny czy sąd musi sięgać po biegłego jest wskazanie, że zgodnie z zaleceniami Polskiego Towarzystwa Seksuologicznego rozpoczęcie tranzycji medycznej uwarunkowane jest uzyskaniem formalnej diagnozy lekarzy o określonych specjalnościach i psychologa. Nie ma żadnych powodów, dla których rozpoczęcie tranzycji prawnej miałoby być obwarowane innymi lub dodatkowymi warunkami. Posiadanie diagnozy jest zaś faktem, który powód lub powódka </w:t>
      </w:r>
      <w:r>
        <w:rPr>
          <w:rFonts w:eastAsia="Times New Roman" w:ascii="Arial" w:hAnsi="Arial"/>
        </w:rPr>
        <w:t>[obecnie – wnioskodawca lub wnioskodawczyni]</w:t>
      </w:r>
      <w:r>
        <w:rPr>
          <w:rFonts w:eastAsia="Times New Roman" w:ascii="Arial" w:hAnsi="Arial"/>
          <w:i/>
        </w:rPr>
        <w:t xml:space="preserve"> może wykazać przedstawiając swoją dokumentację medyczną i która może być oceniona przez sąd jako dokument prywatny w rozumieniu art. 245 k.p.c. Będzie to niewątpliwie dowód tego, że odpowiedni specjaliści złożyli oświadczenia dotyczące diagnozy czy stanu zdrowia powoda lub powódki. Przystępując więc do rozstrzygnięcia sprawy o ustalenie płci, w której powód dołączył do pozwu dokumentację medyczną zgodną z zaleceniami Polskiego Towarzystwa Seksuologicznego, sąd – o ile nie występują wyjątkowe okoliczności – powinien uznać, że przedstawiono mu materiał dowodowy wystarczający do stwierdzenia podstawowej przesłanki ustalenia płci, tj. uzyskania przez powoda lub powódkę formalnej diagnozy transpłciowości. Co do zasady nie musi być do tego konieczne uzyskanie opinii biegłych sądowych.</w:t>
      </w:r>
    </w:p>
    <w:p>
      <w:pPr>
        <w:pStyle w:val="Normal"/>
        <w:spacing w:lineRule="auto" w:line="360" w:before="0" w:after="80"/>
        <w:ind w:left="1420"/>
        <w:jc w:val="both"/>
        <w:rPr>
          <w:rFonts w:ascii="Arial" w:hAnsi="Arial"/>
        </w:rPr>
      </w:pPr>
      <w:r>
        <w:rPr>
          <w:rFonts w:eastAsia="Times New Roman" w:ascii="Arial" w:hAnsi="Arial"/>
          <w:i/>
        </w:rPr>
        <w:t xml:space="preserve">Dla przykładu wskazać należy, że osoba dochodząca np. roszczenia alimentacyjnego, chcąca wykazać swoje zwiększone potrzeby ze względu na chorobę przewlekłą, nie musi zgłaszać w postępowaniu wniosku o opinię biegłego. Sądy, by stwierdzić fakt, że osoba ta w istocie cierpi na daną chorobę, poprzestają w takich przypadkach na przedstawionym zaświadczeniu od odpowiedniego lekarza specjalisty </w:t>
      </w:r>
      <w:r>
        <w:rPr>
          <w:rFonts w:eastAsia="Times New Roman" w:ascii="Arial" w:hAnsi="Arial"/>
        </w:rPr>
        <w:t>[s. 67]</w:t>
      </w:r>
      <w:r>
        <w:rPr>
          <w:rFonts w:eastAsia="Times New Roman" w:ascii="Arial" w:hAnsi="Arial"/>
          <w:i/>
        </w:rPr>
        <w:t>.</w:t>
      </w:r>
    </w:p>
    <w:p>
      <w:pPr>
        <w:pStyle w:val="Normal"/>
        <w:spacing w:lineRule="auto" w:line="360" w:before="0" w:after="80"/>
        <w:jc w:val="both"/>
        <w:rPr>
          <w:rFonts w:ascii="Arial" w:hAnsi="Arial" w:eastAsia="Times New Roman"/>
        </w:rPr>
      </w:pPr>
      <w:r>
        <w:rPr>
          <w:rFonts w:eastAsia="Times New Roman" w:ascii="Arial" w:hAnsi="Arial"/>
        </w:rPr>
      </w:r>
    </w:p>
    <w:p>
      <w:pPr>
        <w:pStyle w:val="Normal"/>
        <w:spacing w:lineRule="auto" w:line="360" w:before="0" w:after="80"/>
        <w:jc w:val="both"/>
        <w:rPr>
          <w:rFonts w:ascii="Arial" w:hAnsi="Arial"/>
        </w:rPr>
      </w:pPr>
      <w:r>
        <w:rPr>
          <w:rFonts w:eastAsia="Times New Roman" w:ascii="Arial" w:hAnsi="Arial"/>
        </w:rPr>
        <w:t xml:space="preserve">Podkreślenia wymaga, że wydawanie wyroków w procesach o ustalenie płci na posiedzeniu niejawnym i bez powoływania biegłego stało się jedną z dominujących praktyk w ostatnich latach przed wydaniem uchwały przez SN. Takie postępowanie jednoznacznie rekomendował też RPO w cytowanej publikacji. Obecnie zmianie ulega jedynie tryb postępowania, ale dotychczasowe przesłanki zmiany oznaczenia płci powinny zostać takie same. Nie ma więc żadnych przeszkód, by w sprawach o zmianę oznaczenia płci przez sprostowanie aktu urodzenia stosować te same standardy dowodowe, które utrwaliły się w sprawach o ustalenie płci. Jak podkreślono w przewodniku RPO, postępowaniach prowadzonych w latach 2020–2022 sądy okręgowe uwzględniły powództwa na posiedzeniach niejawnych aż w 132 sprawach (s. 93). Doświadczenie spraw prowadzonych w ostatnich latach wskazuje, że wyroki na posiedzeniu niejawnym i bez dowodu z opinii biegłego zapadały bardzo często. Rzadziej wyrok poprzedzała rozprawa, choć i wtedy sądy nie sięgały po opinię. Coraz rzadsze były sytuacje dopuszczania dowodu z opinii biegłego. </w:t>
      </w:r>
    </w:p>
    <w:p>
      <w:pPr>
        <w:pStyle w:val="Normal"/>
        <w:spacing w:lineRule="auto" w:line="360" w:before="100" w:after="200"/>
        <w:jc w:val="both"/>
        <w:rPr>
          <w:rFonts w:ascii="Arial" w:hAnsi="Arial"/>
        </w:rPr>
      </w:pPr>
      <w:r>
        <w:rPr>
          <w:rFonts w:eastAsia="Times New Roman" w:ascii="Arial" w:hAnsi="Arial"/>
        </w:rPr>
        <w:t xml:space="preserve">W orzecznictwie Sądu Najwyższego podkreślano, że prawo do identyfikowania się z daną płcią to prawo osobiste, z którego charakteru wynika, że interes prawny w uzgodnieniu płci ma wyłącznie podmiot tego prawa. Również w niedawnej uchwale SN podkreślił, że wynik sprawy o zmianę oznaczenia płci dotyczy wyłącznie tej jednostki. Przyjmowane w judykaturze rozwiązania są przy tym próbą znalezienia drogi realizacji ochrony prawnej w zakresie ustalenia zmiany oznaczenia płci </w:t>
      </w:r>
      <w:r>
        <w:rPr>
          <w:rFonts w:eastAsia="Times New Roman" w:ascii="Arial" w:hAnsi="Arial"/>
          <w:b/>
          <w:bCs/>
        </w:rPr>
        <w:t>w warunkach luki prawnej</w:t>
      </w:r>
      <w:r>
        <w:rPr>
          <w:rFonts w:eastAsia="Times New Roman" w:ascii="Arial" w:hAnsi="Arial"/>
        </w:rPr>
        <w:t xml:space="preserve">. W ostatnich 36 latach orzecznictwo uznawało, że właściwą ścieżką powinno być wykorzystanie w tym celu założeń powództwa o ustalenie (art. 189 k.p.c.). Obecnie uchwałą z marca 2025 r. SN powrócił do koncepcji stosowania przez analogię przepisów o sprostowaniu aktu urodzenia. Należy jednak zauważyć, że opisany wcześniej standard międzynarodowy podkreśla konieczność zapewnienia procedury, która będzie szybka, przejrzysta i łatwo dostępna, a Ekspert ONZ podnosi wręcz, że procedura powinna być oparta o samookreślenie jednostki. Biorąc pod uwagę ten standard i to, że obecne rozwiązanie jest jedynie wypełnieniem luki prawnej, rygory wynikające z postępowania sądowego i tym samym dowodowego, powinny być możliwie łagodzone. </w:t>
      </w:r>
    </w:p>
    <w:p>
      <w:pPr>
        <w:pStyle w:val="Normal"/>
        <w:numPr>
          <w:ilvl w:val="0"/>
          <w:numId w:val="3"/>
        </w:numPr>
        <w:spacing w:lineRule="auto" w:line="360"/>
        <w:jc w:val="both"/>
        <w:rPr>
          <w:rFonts w:ascii="Arial" w:hAnsi="Arial"/>
        </w:rPr>
      </w:pPr>
      <w:commentRangeStart w:id="38"/>
      <w:sdt>
        <w:sdtPr>
          <w:tag w:val="goog_rdk_39"/>
          <w:id w:val="461702927"/>
        </w:sdtPr>
        <w:sdtContent>
          <w:r>
            <w:rPr/>
          </w:r>
          <w:r>
            <w:rPr/>
          </w:r>
        </w:sdtContent>
      </w:sdt>
      <w:r>
        <w:rPr>
          <w:rFonts w:eastAsia="Times New Roman" w:ascii="Arial" w:hAnsi="Arial"/>
          <w:b/>
        </w:rPr>
        <w:t>Wniosek o rozpoznanie niniejszej sprawy w trybie pilnym, zgodnie z § 2 pkt 5 lit. x Rozporządzenia Ministra Sprawiedliwości z dnia 18 czerwca 2019 r. Regulamin urzędowania sądów powszechnych.</w:t>
      </w:r>
      <w:commentRangeEnd w:id="38"/>
      <w:r>
        <w:commentReference w:id="38"/>
      </w:r>
      <w:r>
        <w:rPr>
          <w:rFonts w:eastAsia="Times New Roman" w:ascii="Arial" w:hAnsi="Arial"/>
          <w:b/>
        </w:rPr>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Zgodnie z aktualnym brzmieniem § 2 pkt 5 lit. x Rozporządzenia Ministra Sprawiedliwości z dnia 18 czerwca 2019 r. Regulamin urzędowania sądów powszechnych, sprawy o ustalenie płci metrykalnej (art. 189 k.p.c.) są sprawami pilnymi. Przepis ten został wprowadzony Rozporządzeniem Ministra Sprawiedliwości z dnia 26 września 2024 r. zmieniającym rozporządzenie – Regulamin urzędowania sądów powszechnych i wszedł w życie z dniem 16 października 2024 roku. Prawodawca trafnie zatem dostrzegł, że sprawy o uzgodnienie płci metrykalnej, z uwagi na swoją specyfikę, zazwyczaj mają pilny charakter. Nie inaczej jest na gruncie niniejszej spawy. Postępowanie dotyczy bowiem najbardziej żywotnych interesów Wnioskodawcy oraz jego codziennego funkcjonowania. Zaznaczyć należy, że funkcjonuje on w ramach odczuwanej tożsamości płciowej, co pozostaje w rozdźwięku z płcią metrykalną uwidocznioną w dokumentach.</w:t>
      </w:r>
    </w:p>
    <w:p>
      <w:pPr>
        <w:pStyle w:val="Normal"/>
        <w:spacing w:lineRule="auto" w:line="360" w:before="100" w:after="200"/>
        <w:jc w:val="both"/>
        <w:rPr>
          <w:rFonts w:ascii="Arial" w:hAnsi="Arial"/>
        </w:rPr>
      </w:pPr>
      <w:r>
        <w:rPr>
          <w:rFonts w:eastAsia="Times New Roman" w:ascii="Arial" w:hAnsi="Arial"/>
        </w:rPr>
        <w:t>Choć literalnie przepis dotyczy postępowań o ustalenie płci, to wykładnia celowościowa i funkcjonalna w sposób oczywisty nakazują go stosować do postępowań o sprostowanie aktu urodzenia osób transpłciowych. Intencja prawodawcy i cel przepisu są tu bowiem całkowicie jednoznaczne. Przy nowelizacji tego przepisu nie można było zakładać, że zmieni się tryb postępowania. Należy ponadto podkreślić, że uznanie niniejszej sprawy za sprawę pilną pozostaje w zgodzie ze standardami międzynarodowymi nakazującymi szybkie rozpoznanie spraw o zmianę oznaczenia płci.</w:t>
      </w:r>
    </w:p>
    <w:p>
      <w:pPr>
        <w:pStyle w:val="Normal"/>
        <w:numPr>
          <w:ilvl w:val="0"/>
          <w:numId w:val="3"/>
        </w:numPr>
        <w:spacing w:lineRule="auto" w:line="360" w:before="100" w:after="200"/>
        <w:jc w:val="both"/>
        <w:rPr>
          <w:rFonts w:ascii="Arial" w:hAnsi="Arial"/>
        </w:rPr>
      </w:pPr>
      <w:commentRangeStart w:id="39"/>
      <w:sdt>
        <w:sdtPr>
          <w:tag w:val="goog_rdk_40"/>
          <w:id w:val="-471296730"/>
        </w:sdtPr>
        <w:sdtContent>
          <w:r>
            <w:rPr/>
          </w:r>
          <w:r>
            <w:rPr/>
          </w:r>
        </w:sdtContent>
      </w:sdt>
      <w:r>
        <w:rPr>
          <w:rFonts w:eastAsia="Times New Roman" w:ascii="Arial" w:hAnsi="Arial"/>
          <w:b/>
        </w:rPr>
        <w:t xml:space="preserve">Możliwość wydania rozstrzygnięcia w przedmiocie </w:t>
      </w:r>
      <w:commentRangeStart w:id="40"/>
      <w:r>
        <w:rPr>
          <w:rFonts w:eastAsia="Times New Roman" w:ascii="Arial" w:hAnsi="Arial"/>
          <w:b/>
        </w:rPr>
        <w:t>imienia/imion/nazwiska</w:t>
      </w:r>
      <w:r>
        <w:rPr>
          <w:rFonts w:eastAsia="Times New Roman" w:ascii="Arial" w:hAnsi="Arial"/>
          <w:b/>
        </w:rPr>
      </w:r>
      <w:commentRangeEnd w:id="40"/>
      <w:r>
        <w:commentReference w:id="40"/>
      </w:r>
      <w:r>
        <w:rPr>
          <w:rFonts w:eastAsia="Times New Roman" w:ascii="Arial" w:hAnsi="Arial"/>
          <w:b/>
        </w:rPr>
        <w:t xml:space="preserve"> Wnioskodawcy</w:t>
      </w:r>
      <w:commentRangeEnd w:id="39"/>
      <w:r>
        <w:commentReference w:id="39"/>
      </w:r>
      <w:r>
        <w:rPr>
          <w:rFonts w:eastAsia="Times New Roman" w:ascii="Arial" w:hAnsi="Arial"/>
          <w:b/>
        </w:rPr>
      </w:r>
    </w:p>
    <w:p>
      <w:pPr>
        <w:pStyle w:val="Normal"/>
        <w:spacing w:lineRule="auto" w:line="360"/>
        <w:jc w:val="both"/>
        <w:rPr>
          <w:rFonts w:ascii="Arial" w:hAnsi="Arial"/>
        </w:rPr>
      </w:pPr>
      <w:r>
        <w:rPr>
          <w:rFonts w:eastAsia="Times New Roman" w:ascii="Arial" w:hAnsi="Arial"/>
        </w:rPr>
        <w:t xml:space="preserve">Z kolei w kwestii żądania zmiany </w:t>
      </w:r>
      <w:commentRangeStart w:id="41"/>
      <w:r>
        <w:rPr>
          <w:rFonts w:eastAsia="Times New Roman" w:ascii="Arial" w:hAnsi="Arial"/>
        </w:rPr>
        <w:t>imienia/imion i/lub nazwiska</w:t>
      </w:r>
      <w:r>
        <w:rPr>
          <w:rFonts w:eastAsia="Times New Roman" w:ascii="Arial" w:hAnsi="Arial"/>
        </w:rPr>
      </w:r>
      <w:commentRangeEnd w:id="41"/>
      <w:r>
        <w:commentReference w:id="41"/>
      </w:r>
      <w:r>
        <w:rPr>
          <w:rFonts w:eastAsia="Times New Roman" w:ascii="Arial" w:hAnsi="Arial"/>
        </w:rPr>
        <w:t xml:space="preserve"> Wnioskodawcy na aktualnie używane należy wskazać w pierwszej kolejności, że nie jest to żądanie wysuwane ani opierane na przesłankach wynikających z ustawy z dnia 17 października 2008 roku o zmianie imienia i nazwiska, a przesłanki te nie stoją na przeszkodzie rozstrzygnięciu w tym przedmiocie. Potrzeba i konieczność dostosowania imion lub nazwiska do oznaczenia płci koreluje bowiem z żądaniem ustalenia odmiennej płci niż przypisana przy urodzeniu i tylko z niego wynika. Uwzględnienie wniosku tylko co do zmiany oznaczenia płci metrykalnej spowodowałoby, że Wnioskodawca będzie z konieczności funkcjonował przynajmniej przez pewien czas jako osoba o danych żeńskich, a jedynie męskim oznaczeniu płci i  numerze PESEL, co jest sytuacją bez precedensu i wysoce komplikowałoby codzienne funkcjonowanie.</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W praktyce faktycznie brak zmiany imienia i nazwiska równolegle do zmiany oznaczenia płci i numeru PESEL powoduje, że osoby transpłciowe doświadczają wielu praktycznych trudności w okresie do czasu zmiany wszystkich danych i wydania nowego dowodu osobistego. Osoba nie posiada aktualnego dokumentu tożsamości, przestają działać systemy oparte o usługi cyfrowe obywatel.gov.pl (w tym ePUAP). Występują trudności w wystawieniu recept i ich realizowaniu. Przemawia to za koniecznością uzgodnienia od razu wszystkich danych.</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Change w:id="0" w:author="Julia" w:date="2026-06-01T10:21:00Z"/>
        </w:rPr>
        <w:t xml:space="preserve">Imiona i nazwiska są, oprócz oznaczenia płci, istotnymi danymi odróżniającymi osobę, a podstawa ich zmiany jest taka sama, jak w przypadku zmiany oznaczenia płci – czyli niezgodność </w:t>
      </w:r>
      <w:r>
        <w:rPr>
          <w:rFonts w:eastAsia="Times New Roman" w:ascii="Arial" w:hAnsi="Arial"/>
        </w:rPr>
        <w:t>płciowa. Orzeczenie sądowe żądane w niniejszym wniosku, będące krokiem na drodze do formalnej tranzycji osoby transpłciowej, winno – w braku pozytywnych uregulowań – dążyć do uzgodnienia wszystkich danych osobowych osoby transpłciowej zgodnie z obraną płcią.</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Nie jest argumentem przemawiającym za niedopuszczalnością drogi sądowej w tym zakresie okoliczność, że istnieje uregulowana procedura administracyjna dotycząca zmiany imion i nazwisk przewidziana w ustawie o zmianie imienia i nazwiska. Orzekający w tych sprawach organ administracji w osobie kierownika urzędu stanu cywilnego należy uznać za właściwy do korygowania danych osób transpłciowych wyłącznie wówczas, gdy wniosek kieruje się w trybie administracyjnym i w oparciu o owe „ważne powody”, wymienione w art. 4 odnośnej ustawy – niezwiązane ze zmianą oznaczenia płci. Nieenumeratywny katalog owych powodów odwołuje się jednak do sytuacji odmiennych rodzajowo niż transpłciowość i zapadnięcie orzeczenia sądowego stwierdzającego, że wnioskodawca jest kobietą/mężczyzną zamiast płci przypisanej przy urodzeniu.</w:t>
      </w:r>
    </w:p>
    <w:p>
      <w:pPr>
        <w:pStyle w:val="Normal"/>
        <w:spacing w:lineRule="auto" w:line="360"/>
        <w:jc w:val="both"/>
        <w:rPr>
          <w:rFonts w:ascii="Arial" w:hAnsi="Arial" w:eastAsia="Times New Roman"/>
          <w:b/>
        </w:rPr>
      </w:pPr>
      <w:r>
        <w:rPr>
          <w:rFonts w:eastAsia="Times New Roman" w:ascii="Arial" w:hAnsi="Arial"/>
          <w:b/>
        </w:rPr>
      </w:r>
    </w:p>
    <w:p>
      <w:pPr>
        <w:pStyle w:val="Normal"/>
        <w:spacing w:lineRule="auto" w:line="360"/>
        <w:jc w:val="both"/>
        <w:rPr>
          <w:rFonts w:ascii="Arial" w:hAnsi="Arial"/>
        </w:rPr>
      </w:pPr>
      <w:r>
        <w:rPr>
          <w:rFonts w:eastAsia="Times New Roman" w:ascii="Arial" w:hAnsi="Arial"/>
        </w:rPr>
        <w:t>Brak zatem podstawy do uznania, że w zakresie żądania zmiany imienia i nazwiska wniosek podlega odrzuceniu na zasadzie art. 199 § 1 pkt 1 k.p.c. w zw. z art. 13 § 2 k.p.c., a wobec obrania przez Wnioskodawcę konkretnego imienia męskiego – jakie chce on nosić po sprostowaniu aktu urodzenia poprzez ujawnienie tam płci męskiej – i jakich w praktyce używa, istnieje możliwość orzeczenia także i w tym przedmiocie. Co więcej, wydanie postanowienia w takiej formule pozwoli na zapewnienie kompleksowego rozstrzygnięcia, całościowo regulującego sytuację dotyczącą danych osobowych Wnioskodawcy, bez zbędnego przedłużenia postępowania o osobną procedurę zmiany imienia i nazwiska.</w:t>
      </w:r>
    </w:p>
    <w:p>
      <w:pPr>
        <w:pStyle w:val="Normal"/>
        <w:numPr>
          <w:ilvl w:val="0"/>
          <w:numId w:val="3"/>
        </w:numPr>
        <w:spacing w:lineRule="auto" w:line="360" w:before="100" w:after="200"/>
        <w:jc w:val="both"/>
        <w:rPr>
          <w:rFonts w:ascii="Arial" w:hAnsi="Arial"/>
        </w:rPr>
      </w:pPr>
      <w:r>
        <w:rPr>
          <w:rFonts w:ascii="Arial" w:hAnsi="Arial"/>
          <w:b/>
          <w:bCs/>
        </w:rPr>
        <w:t>Tranzycja prawna jest zgodna z dobrem dziecka, a niepełnoletność Wnioskodawcy nie stanowi przesłanki do odmowy uwzględnienia wniosku</w:t>
      </w:r>
    </w:p>
    <w:p>
      <w:pPr>
        <w:pStyle w:val="Normal"/>
        <w:spacing w:lineRule="auto" w:line="360"/>
        <w:jc w:val="both"/>
        <w:rPr>
          <w:rFonts w:ascii="Arial" w:hAnsi="Arial"/>
        </w:rPr>
      </w:pPr>
      <w:r>
        <w:rPr>
          <w:rFonts w:eastAsia="Times New Roman" w:ascii="Arial" w:hAnsi="Arial"/>
        </w:rPr>
        <w:t xml:space="preserve">Ze względu na młody wiek Wnioskodawcy, mogą pojawić się wątpliwości co do tego, czy męska tożsamość płciowa jest trwała.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Podkreślenia wymaga więc, że aktualna wiedza naukowa nie definiuje wieku, w którym można uzyskać świadomość własnej tożsamości płciowej oraz trwałość poczucia przynależności do danej płci, w szczególności nie wiąże jej z pełnoletnością osoby. Standardy Opieki nad Zdrowiem Osób Transpłciowych i Zróżnicowanych Genderowo przygotowane przez specjalistów i specjalistki z zakresu zdrowia psychicznego i medycyny skupionych w WPATH (Światowym Stowarzyszeniu na rzecz Zdrowia Osób Transpłciowych)</w:t>
      </w:r>
      <w:r>
        <w:rPr>
          <w:rStyle w:val="FootnoteReference"/>
          <w:rFonts w:eastAsia="Times New Roman" w:ascii="Arial" w:hAnsi="Arial"/>
        </w:rPr>
        <w:footnoteReference w:id="10"/>
      </w:r>
      <w:r>
        <w:rPr>
          <w:rFonts w:eastAsia="Times New Roman" w:ascii="Arial" w:hAnsi="Arial"/>
        </w:rPr>
        <w:t xml:space="preserve"> zawierają szereg zaleceń związanych z opieką nad niepełnoletnimi osobami, u których rozpoczęło się dojrzewanie płciowe. Wszelkie decyzje, w tym o ewentualnych interwencjach medycznych i włączeniu leczenia hormonalnego, powinny opierać się na ocenie zaawansowania dojrzewania płciowego i rozwoju poznawczo-emocjonalnego małoletniej osoby. W sytuacji zdiagnozowania przez specjalistów dysforii płciowej, zalecane jest jednak wczesne zastosowanie hormonów hamujących dojrzewanie, gdyż może to pomóc w uniknięciu negatywnych społecznych i emocjonalnych konsekwencji dysforii płciowej bardziej efektywnie niż mogłoby to zrobić ich późniejsze zastosowanie.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W Standardach przywołuje się szereg badań, w których wskazuje się, że dorastanie może być okresem krytycznym dla rozwoju tożsamości płciowej u młodych ludzi (Steensma, Kreukels i in., 2013). „Holenderskie długoterminowo prowadzone badania kliniczne nad młodzieżą z dysforią płciową, która otrzymywała hormony blokujące dojrzewanie czy hormonalną terapię zastępczą, wykazały, </w:t>
      </w:r>
      <w:r>
        <w:rPr>
          <w:rFonts w:eastAsia="Times New Roman" w:ascii="Arial" w:hAnsi="Arial"/>
          <w:b/>
          <w:bCs/>
        </w:rPr>
        <w:t>że żadna z tych osób w wieku dorosłym nie żałowała decyzji, którą podjęła w okresie dojrzewania</w:t>
      </w:r>
      <w:r>
        <w:rPr>
          <w:rFonts w:eastAsia="Times New Roman" w:ascii="Arial" w:hAnsi="Arial"/>
        </w:rPr>
        <w:t xml:space="preserve"> (Cohen-Kettenis i van Goozen, 1997; de Vries i in., 2014). W przypadku dorastających osób, które wszechstronnie oceniono i określono jako wystarczająco dojrzałe do podejmowania decyzji w zakresie opieki medycznej afirmującej płeć, badania wykazują stabilność tożsamości płciowej. […] W dwóch holenderskich badaniach odnotowano niski odsetek młodzieży dojrzewającej (1,9% i 3,5%) decydującej się na zaprzestanie przyjmowania hormonów (Brik i in, 2019, Wiepjes i in., 2018). […] Podsumowując, obecnie dostępne dowody wskazują na ogólną poprawę życia transpłciowych nastolatków, którzy po dokładnej ocenie medycznej otrzymują medycznie niezbędną terapię. Wskaźniki dotyczące ewentualnego żalu, że podjęło się terapię, są niskie. Biorąc pod uwagę dostępne dane, wczesna interwencja medyczna – jako część szerszego zestawu działań,  w tym diagnozy i terapii skoncentrowanej na dysforii płciowej i ogólnym samopoczuciu – może być skuteczna i pomocna dla wielu transpłciowych nastolatków”.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Polskie standardy opieki dla osób niepełnoletnich w dużej mierze powielają zalecenia WPATH. Opublikowane w wersji polskiej w maju 2025 r., </w:t>
      </w:r>
      <w:r>
        <w:rPr>
          <w:rFonts w:eastAsia="Times New Roman" w:ascii="Arial" w:hAnsi="Arial"/>
          <w:i/>
          <w:iCs/>
        </w:rPr>
        <w:t>Ramowe zalecenia dotyczące procesu opieki nad zdrowiem nastoletnich osób transpłciowych (T) i niebinarnych (NB) doświadczających dysforii płciowej – stanowisko panelu ekspertów</w:t>
      </w:r>
      <w:r>
        <w:rPr>
          <w:rStyle w:val="FootnoteReference"/>
          <w:rFonts w:eastAsia="Times New Roman" w:ascii="Arial" w:hAnsi="Arial"/>
        </w:rPr>
        <w:footnoteReference w:id="11"/>
      </w:r>
      <w:r>
        <w:rPr>
          <w:rFonts w:eastAsia="Times New Roman" w:ascii="Arial" w:hAnsi="Arial"/>
        </w:rPr>
        <w:t xml:space="preserve"> wprost opowiadają się za afirmacją tożsamości płciowej u osób niepełnoletnich, a jako „bezpiecznik” procesu wskazują diagnostykę przeprowadzoną przez interdyscyplinarny zespół. Przez taką diagnostykę przeszedł wnioskodawca.</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Z prawnego punktu widzenia zmiana oznaczenia płci osoby małoletniej, u której zdiagnozowano transpłciowość, jest więc nie tylko dopuszczalna, ale także konieczna – w świetle zasady dobra dziecka. </w:t>
      </w:r>
    </w:p>
    <w:p>
      <w:pPr>
        <w:pStyle w:val="Normal"/>
        <w:spacing w:lineRule="auto" w:line="360"/>
        <w:jc w:val="both"/>
        <w:rPr>
          <w:rFonts w:ascii="Arial" w:hAnsi="Arial" w:eastAsia="Times New Roman"/>
        </w:rPr>
      </w:pPr>
      <w:r>
        <w:rPr>
          <w:rFonts w:eastAsia="Times New Roman" w:ascii="Arial" w:hAnsi="Arial"/>
        </w:rPr>
        <w:t>Zgodnie z art. 3 ust. 1 Konwencji o prawach dziecka we wszystkich działaniach dotyczących dzieci – podejmowanych przez publiczne lub prywatne instytucje opieki społecznej, sądy, władze administracyjne lub ciała ustawodawcze – sprawą nadrzędną jest najlepsze zabezpieczenie interesów dziecka. Obowiązek ochrony praw dziecka nakłada na państwo także art. 72 ust. 1 Konstytucji. W toku rozpatrywania niniejszej sprawy Sąd jest zatem zobowiązany dokonać oceny stanu prawnego z uwzględnieniem najlepszego interesu dziecka.</w:t>
      </w:r>
    </w:p>
    <w:p>
      <w:pPr>
        <w:pStyle w:val="Normal"/>
        <w:spacing w:lineRule="auto" w:line="360"/>
        <w:jc w:val="both"/>
        <w:rPr>
          <w:rFonts w:ascii="Arial" w:hAnsi="Arial"/>
        </w:rPr>
      </w:pPr>
      <w:r>
        <w:rPr>
          <w:rFonts w:ascii="Arial" w:hAnsi="Arial"/>
        </w:rPr>
      </w:r>
    </w:p>
    <w:p>
      <w:pPr>
        <w:pStyle w:val="Normal"/>
        <w:spacing w:lineRule="auto" w:line="360"/>
        <w:jc w:val="both"/>
        <w:rPr>
          <w:rFonts w:ascii="Arial" w:hAnsi="Arial" w:eastAsia="Times New Roman"/>
        </w:rPr>
      </w:pPr>
      <w:bookmarkStart w:id="0" w:name="_tb9933sfnrw0"/>
      <w:bookmarkEnd w:id="0"/>
      <w:r>
        <w:rPr>
          <w:rFonts w:eastAsia="Times New Roman" w:ascii="Arial" w:hAnsi="Arial"/>
        </w:rPr>
        <w:t>W pojęciu dobra dziecka – zgodnie z utrwalonym orzecznictwem Sądu Najwyższego – mieści się cała sfera jego najważniejszych spraw osobistych, przykładowo takich jak jego rozwój fizyczny i duchowy, odpowiednie kształcenie i wychowanie oraz przygotowanie do dorosłego życia</w:t>
      </w:r>
      <w:r>
        <w:rPr>
          <w:rFonts w:eastAsia="Times New Roman" w:ascii="Arial" w:hAnsi="Arial"/>
          <w:vertAlign w:val="superscript"/>
        </w:rPr>
        <w:t xml:space="preserve"> </w:t>
      </w:r>
      <w:r>
        <w:rPr>
          <w:rFonts w:eastAsia="Times New Roman" w:ascii="Arial" w:hAnsi="Arial"/>
        </w:rPr>
        <w:t xml:space="preserve">(zob. m.in. postanowienie SN z 11 lutego 1997 r., sygn. akt II CKN 90/96). Jak wskazywał Rzecznik Praw Obywatelskich w publikacji </w:t>
      </w:r>
      <w:r>
        <w:rPr>
          <w:rFonts w:eastAsia="Times New Roman" w:ascii="Arial" w:hAnsi="Arial"/>
          <w:i/>
          <w:iCs/>
        </w:rPr>
        <w:t>Postępowania w sprawach o ustalenie płci – przewodnik dla sędziów i pełnomocników</w:t>
      </w:r>
      <w:r>
        <w:rPr>
          <w:rFonts w:eastAsia="Times New Roman" w:ascii="Arial" w:hAnsi="Arial"/>
        </w:rPr>
        <w:t xml:space="preserve"> (poprzednie wydanie): „Otwarcie procedury uzgodnienia płci dla osób małoletnich wydaje się zgodne z zasadą uwzględniania najlepszego interesu dziecka we wszystkich sprawach, które go dotyczą. […] konieczność formalnego posługiwania się dokumentami wskazującymi na płeć metrykalną bardzo negatywnie wpływa na zdrowie psychiczne i rozwój osoby małoletniej – wydaje się, że skutki te są jeszcze bardziej dotkliwe, niż w przypadku osoby dorosłej w analogicznych okolicznościach. Z tego względu Rzecznik rekomenduje, aby wytoczenie powództwa [obecnie wniosku o sprostowanie aktu urodzenia] przez zastępującego transpłciową osobę małoletnią kuratora przeciwko jej rodzicom [obecnie rodzice mogą reprezentować dziecko jako jego przedstawiciele ustawowi] było dostępną drogą uzgodnienia płci przed osiągnięciem pełnoletności”. W najnowszej wersji przewodnika RPO wskazuje, że wydawanie wyroków w sprawach dotyczących małoletnich jest już standardem i nie jest kwestionowane, a taką praktykę ocenia aprobująco (s. 64).</w:t>
      </w:r>
    </w:p>
    <w:p>
      <w:pPr>
        <w:pStyle w:val="Normal"/>
        <w:spacing w:lineRule="auto" w:line="360"/>
        <w:jc w:val="both"/>
        <w:rPr>
          <w:rFonts w:ascii="Arial" w:hAnsi="Arial"/>
        </w:rPr>
      </w:pPr>
      <w:r>
        <w:rPr>
          <w:rFonts w:ascii="Arial" w:hAnsi="Arial"/>
        </w:rPr>
      </w:r>
    </w:p>
    <w:p>
      <w:pPr>
        <w:pStyle w:val="Normal"/>
        <w:spacing w:lineRule="auto" w:line="360"/>
        <w:jc w:val="both"/>
        <w:rPr>
          <w:rFonts w:ascii="Arial" w:hAnsi="Arial" w:eastAsia="Times New Roman"/>
        </w:rPr>
      </w:pPr>
      <w:r>
        <w:rPr>
          <w:rFonts w:eastAsia="Times New Roman" w:ascii="Arial" w:hAnsi="Arial"/>
        </w:rPr>
        <w:t>Nie ulega wątpliwości w niniejszej sprawie, że zapewnienie prawidłowego rozwoju fizycznego i psychicznego Wnioskodawcy wymaga uwzględnienia wniosku, co mieści się jednocześnie w ustawowym pojęciu dobra dziecka. Z załączonych do pozwu opinii specjalistów i specjalistek jednoznacznie wynika bowiem, że zgodnie rekomendują oni kontynuację tranzycji medycznej, a także tranzycję prawną, tj. ustalenie płci metrykalnej na drodze sądowej, jako działania, które wpłyną pozytywnie na zdrowie psychiczne Wnioskodawcy i jego funkcjonowanie społeczne.</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t xml:space="preserve">Należy przy tym zauważyć, że rozwój umysłowy, stan zdrowia i stopień dojrzałości dziecka pozwalają na uwzględnienie jego żądania – i tutaj również rodzice z małoletnim współpracują i wsłuchują się w jego rozsądne żądania. Obowiązek zabezpieczenia przez Sąd najlepszego interesu dziecka stanowi zatem dodatkowy argument na rzecz uwzględnienia niniejszego wniosku.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t>Kończąc, podkreślić też trzeba, że jak wynika z badań prowadzonych poza Polską, akceptacja tożsamości płciowej u młodych osób transpłciowych i wprowadzanie afirmującej ich tożsamość płciową opieki medycznej i interwencji, np. w postaci blokerów hormonalnych, zmniejsza negatywne skutki w obszarze zdrowia psychicznego, zwłaszcza zmniejsza liczbę myśli samobójczych i samobójstw wśród tej grupy</w:t>
      </w:r>
      <w:r>
        <w:rPr>
          <w:rStyle w:val="FootnoteReference"/>
          <w:rFonts w:eastAsia="Times New Roman" w:ascii="Arial" w:hAnsi="Arial"/>
        </w:rPr>
        <w:footnoteReference w:id="12"/>
      </w:r>
      <w:r>
        <w:rPr>
          <w:rFonts w:eastAsia="Times New Roman" w:ascii="Arial" w:hAnsi="Arial"/>
        </w:rPr>
        <w:t>. Jednocześnie ekspozycja na wrogi dyskurs wobec osób trans, który obecny jest m.in. w mediach, została w badaniach powiązana z negatywnymi skutkami w obszarze zdrowia psychicznego</w:t>
      </w:r>
      <w:r>
        <w:rPr>
          <w:rStyle w:val="FootnoteReference"/>
          <w:rFonts w:eastAsia="Times New Roman" w:ascii="Arial" w:hAnsi="Arial"/>
        </w:rPr>
        <w:footnoteReference w:id="13"/>
      </w:r>
      <w:r>
        <w:rPr>
          <w:rFonts w:eastAsia="Times New Roman" w:ascii="Arial" w:hAnsi="Arial"/>
        </w:rPr>
        <w:t>. Uzyskanie wsparcia, w tym wsparcia związanego z afirmacją, akceptacją i brakiem negacji tożsamości płciowej młodzieży, zmniejsza ryzyko chorób psychicznych</w:t>
      </w:r>
      <w:r>
        <w:rPr>
          <w:rStyle w:val="FootnoteReference"/>
          <w:rFonts w:eastAsia="Times New Roman" w:ascii="Arial" w:hAnsi="Arial"/>
        </w:rPr>
        <w:footnoteReference w:id="14"/>
      </w:r>
      <w:r>
        <w:rPr>
          <w:rFonts w:eastAsia="Times New Roman" w:ascii="Arial" w:hAnsi="Arial"/>
        </w:rPr>
        <w:t xml:space="preserve">.  </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
        <w:t xml:space="preserve">Z tych względów </w:t>
      </w:r>
      <w:r>
        <w:rPr>
          <w:rFonts w:eastAsia="Times New Roman" w:ascii="Arial" w:hAnsi="Arial"/>
        </w:rPr>
        <w:t>wnosimy</w:t>
      </w:r>
      <w:r>
        <w:rPr>
          <w:rFonts w:eastAsia="Times New Roman" w:ascii="Arial" w:hAnsi="Arial"/>
        </w:rPr>
        <w:t xml:space="preserve"> jak na wstępie.</w:t>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r>
        <w:rPr>
          <w:rFonts w:eastAsia="Times New Roman" w:ascii="Arial" w:hAnsi="Arial"/>
          <w:rPrChange w:id="0" w:author="Julia" w:date="2026-06-01T10:21:00Z"/>
        </w:rPr>
        <w:tab/>
        <w:tab/>
        <w:tab/>
        <w:tab/>
        <w:tab/>
        <w:tab/>
        <w:tab/>
        <w:tab/>
        <w:tab/>
      </w:r>
      <w:sdt>
        <w:sdtPr>
          <w:tag w:val="goog_rdk_43"/>
          <w:id w:val="-500428210"/>
        </w:sdtPr>
        <w:sdtContent>
          <w:r>
            <w:rPr>
              <w:rFonts w:eastAsia="Times New Roman" w:ascii="Arial" w:hAnsi="Arial"/>
            </w:rPr>
          </w:r>
          <w:r>
            <w:rPr>
              <w:rFonts w:eastAsia="Times New Roman" w:ascii="Arial" w:hAnsi="Arial"/>
            </w:rPr>
          </w:r>
        </w:sdtContent>
      </w:sdt>
      <w:commentRangeStart w:id="42"/>
      <w:r>
        <w:rPr>
          <w:rFonts w:eastAsia="Times New Roman" w:ascii="Arial" w:hAnsi="Arial"/>
          <w:i/>
        </w:rPr>
        <w:t>Podpisy</w:t>
      </w:r>
      <w:commentRangeEnd w:id="42"/>
      <w:r>
        <w:commentReference w:id="42"/>
      </w:r>
      <w:r>
        <w:rPr>
          <w:rFonts w:eastAsia="Times New Roman" w:ascii="Arial" w:hAnsi="Arial"/>
          <w:i/>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eastAsia="Times New Roman"/>
        </w:rPr>
      </w:pPr>
      <w:r>
        <w:rPr>
          <w:rFonts w:eastAsia="Times New Roman" w:ascii="Arial" w:hAnsi="Arial"/>
        </w:rPr>
      </w:r>
    </w:p>
    <w:p>
      <w:pPr>
        <w:pStyle w:val="Normal"/>
        <w:spacing w:lineRule="auto" w:line="360"/>
        <w:jc w:val="both"/>
        <w:rPr>
          <w:rFonts w:ascii="Arial" w:hAnsi="Arial"/>
        </w:rPr>
      </w:pPr>
      <w:commentRangeStart w:id="43"/>
      <w:sdt>
        <w:sdtPr>
          <w:tag w:val="goog_rdk_44"/>
          <w:id w:val="-1838691448"/>
        </w:sdtPr>
        <w:sdtContent>
          <w:r>
            <w:rPr/>
          </w:r>
          <w:r>
            <w:rPr/>
          </w:r>
        </w:sdtContent>
      </w:sdt>
      <w:r>
        <w:rPr>
          <w:rFonts w:eastAsia="Times New Roman" w:ascii="Arial" w:hAnsi="Arial"/>
        </w:rPr>
        <w:t>Załączniki:</w:t>
      </w:r>
      <w:commentRangeEnd w:id="43"/>
      <w:r>
        <w:commentReference w:id="43"/>
      </w:r>
      <w:r>
        <w:rPr>
          <w:rFonts w:eastAsia="Times New Roman" w:ascii="Arial" w:hAnsi="Arial"/>
        </w:rPr>
      </w:r>
    </w:p>
    <w:p>
      <w:pPr>
        <w:pStyle w:val="Normal"/>
        <w:numPr>
          <w:ilvl w:val="0"/>
          <w:numId w:val="1"/>
        </w:numPr>
        <w:spacing w:lineRule="auto" w:line="360"/>
        <w:jc w:val="both"/>
        <w:rPr>
          <w:rFonts w:ascii="Arial" w:hAnsi="Arial"/>
        </w:rPr>
      </w:pPr>
      <w:commentRangeStart w:id="44"/>
      <w:sdt>
        <w:sdtPr>
          <w:tag w:val="goog_rdk_45"/>
          <w:id w:val="1636993181"/>
        </w:sdtPr>
        <w:sdtContent>
          <w:r>
            <w:rPr/>
          </w:r>
          <w:r>
            <w:rPr/>
          </w:r>
        </w:sdtContent>
      </w:sdt>
      <w:r>
        <w:rPr>
          <w:rFonts w:eastAsia="Times New Roman" w:ascii="Arial" w:hAnsi="Arial"/>
        </w:rPr>
        <w:t>dowód uiszczenia opłaty sądowej od wniosku</w:t>
      </w:r>
      <w:r>
        <w:rPr>
          <w:rFonts w:eastAsia="Times New Roman" w:ascii="Arial" w:hAnsi="Arial"/>
        </w:rPr>
      </w:r>
      <w:commentRangeEnd w:id="44"/>
      <w:r>
        <w:commentReference w:id="44"/>
      </w:r>
      <w:r>
        <w:rPr>
          <w:rFonts w:eastAsia="Times New Roman" w:ascii="Arial" w:hAnsi="Arial"/>
        </w:rPr>
        <w:t>,</w:t>
      </w:r>
    </w:p>
    <w:p>
      <w:pPr>
        <w:pStyle w:val="Normal"/>
        <w:numPr>
          <w:ilvl w:val="0"/>
          <w:numId w:val="1"/>
        </w:numPr>
        <w:spacing w:lineRule="auto" w:line="360"/>
        <w:jc w:val="both"/>
        <w:rPr>
          <w:rFonts w:ascii="Arial" w:hAnsi="Arial"/>
        </w:rPr>
      </w:pPr>
      <w:commentRangeStart w:id="45"/>
      <w:r>
        <w:rPr>
          <w:rFonts w:eastAsia="Times New Roman" w:ascii="Arial" w:hAnsi="Arial"/>
        </w:rPr>
        <w:t xml:space="preserve">odpis zupełny aktu urodzenia, </w:t>
      </w:r>
    </w:p>
    <w:p>
      <w:pPr>
        <w:pStyle w:val="Normal"/>
        <w:numPr>
          <w:ilvl w:val="0"/>
          <w:numId w:val="1"/>
        </w:numPr>
        <w:spacing w:lineRule="auto" w:line="360"/>
        <w:jc w:val="both"/>
        <w:rPr>
          <w:rFonts w:ascii="Arial" w:hAnsi="Arial"/>
        </w:rPr>
      </w:pPr>
      <w:sdt>
        <w:sdtPr>
          <w:tag w:val="goog_rdk_47"/>
          <w:id w:val="-1829274287"/>
        </w:sdtPr>
        <w:sdtContent>
          <w:r>
            <w:rPr/>
          </w:r>
          <w:r>
            <w:rPr/>
          </w:r>
        </w:sdtContent>
      </w:sdt>
      <w:r>
        <w:rPr>
          <w:rFonts w:eastAsia="Times New Roman" w:ascii="Arial" w:hAnsi="Arial"/>
        </w:rPr>
        <w:t>opinia psychologiczna,</w:t>
      </w:r>
    </w:p>
    <w:p>
      <w:pPr>
        <w:pStyle w:val="Normal"/>
        <w:numPr>
          <w:ilvl w:val="0"/>
          <w:numId w:val="1"/>
        </w:numPr>
        <w:spacing w:lineRule="auto" w:line="360"/>
        <w:jc w:val="both"/>
        <w:rPr>
          <w:rFonts w:ascii="Arial" w:hAnsi="Arial"/>
        </w:rPr>
      </w:pPr>
      <w:r>
        <w:rPr>
          <w:rFonts w:eastAsia="Times New Roman" w:ascii="Arial" w:hAnsi="Arial"/>
        </w:rPr>
        <w:t>zaświadczenie lekarza psychiatry/psychiatry dzieci i młodzieży/seksuologa,</w:t>
      </w:r>
      <w:commentRangeEnd w:id="45"/>
      <w:r>
        <w:commentReference w:id="45"/>
      </w:r>
      <w:r>
        <w:rPr>
          <w:rFonts w:eastAsia="Times New Roman" w:ascii="Arial" w:hAnsi="Arial"/>
        </w:rPr>
      </w:r>
    </w:p>
    <w:p>
      <w:pPr>
        <w:pStyle w:val="Normal"/>
        <w:numPr>
          <w:ilvl w:val="0"/>
          <w:numId w:val="1"/>
        </w:numPr>
        <w:spacing w:lineRule="auto" w:line="360"/>
        <w:jc w:val="both"/>
        <w:rPr>
          <w:rFonts w:ascii="Arial" w:hAnsi="Arial"/>
        </w:rPr>
      </w:pPr>
      <w:commentRangeStart w:id="46"/>
      <w:sdt>
        <w:sdtPr>
          <w:tag w:val="goog_rdk_48"/>
          <w:id w:val="152725308"/>
        </w:sdtPr>
        <w:sdtContent>
          <w:r>
            <w:rPr/>
          </w:r>
          <w:r>
            <w:rPr/>
          </w:r>
        </w:sdtContent>
      </w:sdt>
      <w:r>
        <w:rPr>
          <w:rFonts w:eastAsia="Times New Roman" w:ascii="Arial" w:hAnsi="Arial"/>
        </w:rPr>
        <w:t xml:space="preserve">dokument zatytułowany </w:t>
      </w:r>
      <w:r>
        <w:rPr>
          <w:rFonts w:eastAsia="Times New Roman" w:ascii="Arial" w:hAnsi="Arial"/>
          <w:i/>
        </w:rPr>
        <w:t>Postępowania w sprawach o uzgodnienie płci. Przewodnik</w:t>
      </w:r>
      <w:r>
        <w:rPr>
          <w:rFonts w:eastAsia="Times New Roman" w:ascii="Arial" w:hAnsi="Arial"/>
        </w:rPr>
        <w:t>, wydany przez Rzecznika Praw Obywatelskich,</w:t>
      </w:r>
      <w:commentRangeEnd w:id="46"/>
      <w:r>
        <w:commentReference w:id="46"/>
      </w:r>
      <w:r>
        <w:rPr>
          <w:rFonts w:eastAsia="Times New Roman" w:ascii="Arial" w:hAnsi="Arial"/>
        </w:rPr>
      </w:r>
    </w:p>
    <w:p>
      <w:pPr>
        <w:pStyle w:val="Normal"/>
        <w:numPr>
          <w:ilvl w:val="0"/>
          <w:numId w:val="1"/>
        </w:numPr>
        <w:spacing w:lineRule="auto" w:line="360"/>
        <w:jc w:val="both"/>
        <w:rPr>
          <w:rFonts w:ascii="Arial" w:hAnsi="Arial"/>
        </w:rPr>
      </w:pPr>
      <w:r>
        <w:rPr>
          <w:rFonts w:eastAsia="Times New Roman" w:ascii="Arial" w:hAnsi="Arial"/>
        </w:rPr>
        <w:t xml:space="preserve">dokument zatytułowany </w:t>
      </w:r>
      <w:r>
        <w:rPr>
          <w:rFonts w:eastAsia="Times New Roman" w:ascii="Arial" w:hAnsi="Arial"/>
          <w:i/>
          <w:iCs/>
        </w:rPr>
        <w:t>Ramowe zalecenia dotyczące procesu opieki nad zdrowiem nastoletnich osób transpłciowych (T) i niebinarnych (NB) doświadczających dysforii płciowej — stanowisko panelu ekspertów</w:t>
      </w:r>
      <w:r>
        <w:rPr>
          <w:rFonts w:eastAsia="Times New Roman" w:ascii="Arial" w:hAnsi="Arial"/>
        </w:rPr>
        <w:t>.</w:t>
      </w:r>
    </w:p>
    <w:p>
      <w:pPr>
        <w:pStyle w:val="Normal"/>
        <w:spacing w:lineRule="auto" w:line="360" w:before="0" w:after="200"/>
        <w:ind w:left="720"/>
        <w:jc w:val="both"/>
        <w:rPr>
          <w:rFonts w:ascii="Arial" w:hAnsi="Arial" w:eastAsia="Times New Roman"/>
        </w:rPr>
      </w:pPr>
      <w:r>
        <w:rPr>
          <w:rFonts w:eastAsia="Times New Roman" w:ascii="Arial" w:hAnsi="Arial"/>
        </w:rPr>
      </w:r>
    </w:p>
    <w:p>
      <w:pPr>
        <w:pStyle w:val="Normal"/>
        <w:spacing w:lineRule="auto" w:line="360"/>
        <w:ind w:left="720"/>
        <w:jc w:val="both"/>
        <w:rPr>
          <w:rFonts w:ascii="Arial" w:hAnsi="Arial" w:eastAsia="Times New Roman"/>
        </w:rPr>
      </w:pPr>
      <w:r>
        <w:rPr>
          <w:rFonts w:eastAsia="Times New Roman" w:ascii="Arial" w:hAnsi="Arial"/>
        </w:rPr>
      </w:r>
    </w:p>
    <w:sectPr>
      <w:footerReference w:type="even" r:id="rId2"/>
      <w:footerReference w:type="default" r:id="rId3"/>
      <w:footerReference w:type="first" r:id="rId4"/>
      <w:footnotePr>
        <w:numFmt w:val="decimal"/>
      </w:footnotePr>
      <w:type w:val="nextPage"/>
      <w:pgSz w:w="11906" w:h="16838"/>
      <w:pgMar w:left="1440" w:right="1440" w:gutter="0" w:header="0" w:top="1440" w:footer="720" w:bottom="1440"/>
      <w:pgNumType w:start="1"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Karolina Gierdal" w:date="2026-05-04T12:31:00Z" w:initials="KG">
    <w:p>
      <w:pPr>
        <w:overflowPunct w:val="true"/>
        <w:spacing w:before="309" w:after="0" w:lineRule="auto" w:line="240"/>
        <w:ind w:left="314" w:right="314" w:hanging="0"/>
        <w:rPr/>
      </w:pPr>
      <w:r>
        <w:annotationRef/>
      </w:r>
      <w:r>
        <w:rPr>
          <w:rFonts w:cs="Arial" w:ascii="Arial" w:hAnsi="Arial"/>
          <w:color w:val="000000"/>
          <w:sz w:val="20"/>
          <w:szCs w:val="22"/>
        </w:rPr>
        <w:t>Podaj miejscowość, w której piszesz wniosek. Powinna to być miejscowość, którą wskazujesz jako miejsce zamieszkania małoletniej.</w:t>
      </w:r>
    </w:p>
  </w:comment>
  <w:comment w:id="1" w:author="Karolina Gierdal" w:date="2026-05-04T12:31:00Z" w:initials="KG">
    <w:p>
      <w:pPr>
        <w:overflowPunct w:val="true"/>
        <w:spacing w:before="309" w:after="0" w:lineRule="auto" w:line="240"/>
        <w:ind w:left="314" w:right="314" w:hanging="0"/>
        <w:rPr/>
      </w:pPr>
      <w:r>
        <w:annotationRef/>
      </w:r>
      <w:r>
        <w:rPr>
          <w:rFonts w:cs="Arial" w:ascii="Arial" w:hAnsi="Arial"/>
          <w:color w:val="000000"/>
          <w:sz w:val="20"/>
          <w:szCs w:val="22"/>
        </w:rPr>
        <w:t>Podaj datę, w której piszesz wniosek – nie musi to być data, w której ostatecznie wyślesz czy złożysz pismo w sądzie.</w:t>
      </w:r>
    </w:p>
  </w:comment>
  <w:comment w:id="2" w:author="Karolina Gierdal" w:date="2026-05-04T12:32:00Z" w:initials="KG">
    <w:p>
      <w:pPr>
        <w:overflowPunct w:val="false"/>
        <w:spacing w:lineRule="auto" w:line="240"/>
        <w:rPr/>
      </w:pPr>
      <w:r>
        <w:annotationRef/>
      </w:r>
      <w:r>
        <w:rPr>
          <w:color w:val="000000"/>
        </w:rPr>
        <w:t xml:space="preserve">Do jakiego sądu składasz wniosek? Ma to być sąd rejonowy najbliższy miejscu zamieszkania osoby małoletniej, nie opiekunów prawnych/rodziców. Jeśli rodzice mieszkają osobno, to właśnie miejsce zamieszkania osoby małoletniej determinuje właściwość sądu. Miejsce zamieszkania to nie to samo, co adres zameldowania. Chodzi o miejsce, w którym ma ona swoje „centrum życiowe”. Jeśli rodzice nie mieszkają razem i dziecko jest w opiece naprzemiennej, to można wybrać, który adres wskazać jako adres zamieszkania. Sąd nie będzie domyślnie sprawdzać czy adres, jaki podajesz, jest prawdziwy i w pierwszej kolejności opiera się na twojej deklaracji. Jeśli uzna, że podajesz inny adres niż rzeczywisty adres miejsca zamieszkania osoby małoletniej, to wyda postanowienie o przekazaniu sprawy do właściwego sądu – nie będzie innych konsekwencji. Jeśli w trakcie postępowania osoba małoletnia zmieni adres zamieszkania, to sąd, który był właściwy na dzień wnoszenia wniosku, pozostaje właściwy do końca sprawy – zmiana miejsca zamieszkania nie spowoduje zmiany sądu. </w:t>
      </w:r>
    </w:p>
  </w:comment>
  <w:comment w:id="3" w:author="Karolina Gierdal" w:date="2026-05-04T12:32:00Z" w:initials="KG">
    <w:p>
      <w:pPr>
        <w:overflowPunct w:val="true"/>
        <w:spacing w:before="309" w:after="0" w:lineRule="auto" w:line="240"/>
        <w:ind w:left="314" w:right="314" w:hanging="0"/>
        <w:rPr/>
      </w:pPr>
      <w:r>
        <w:annotationRef/>
      </w:r>
      <w:r>
        <w:rPr>
          <w:rFonts w:cs="Arial" w:ascii="Arial" w:hAnsi="Arial"/>
          <w:color w:val="000000"/>
          <w:sz w:val="20"/>
          <w:szCs w:val="22"/>
        </w:rPr>
        <w:t xml:space="preserve">Sprawę rozpoznawać będzie wydział cywilny sądu. W większych sądach jest kilka wydziałów, a podział pracy między nimi często wynika z uregulowań wewnętrznych. Nie trzeba precyzyjnie wskazywać na tym etapie numeru wydziału, wystarczy oznaczenie, że jest to wydział cywilny. </w:t>
      </w:r>
    </w:p>
  </w:comment>
  <w:comment w:id="4" w:author="Karolina Gierdal" w:date="2026-05-04T12:34:00Z" w:initials="KG">
    <w:p>
      <w:pPr>
        <w:overflowPunct w:val="true"/>
        <w:spacing w:before="309" w:after="0" w:lineRule="auto" w:line="240"/>
        <w:ind w:left="314" w:right="314" w:hanging="0"/>
        <w:rPr/>
      </w:pPr>
      <w:r>
        <w:annotationRef/>
      </w:r>
      <w:r>
        <w:rPr>
          <w:rFonts w:cs="Arial" w:ascii="Arial" w:hAnsi="Arial"/>
          <w:color w:val="000000"/>
          <w:sz w:val="20"/>
          <w:szCs w:val="22"/>
        </w:rPr>
        <w:t>Podaj adres sądu, do którego składany jest wniosek.</w:t>
      </w:r>
    </w:p>
  </w:comment>
  <w:comment w:id="5" w:author="Karolina Gierdal" w:date="2026-05-04T12:34:00Z" w:initials="KG">
    <w:p>
      <w:pPr>
        <w:overflowPunct w:val="true"/>
        <w:spacing w:before="309" w:after="0" w:lineRule="auto" w:line="240"/>
        <w:ind w:left="314" w:right="314" w:hanging="0"/>
        <w:rPr/>
      </w:pPr>
      <w:r>
        <w:annotationRef/>
      </w:r>
      <w:r>
        <w:rPr>
          <w:rFonts w:cs="Arial" w:ascii="Arial" w:hAnsi="Arial"/>
          <w:color w:val="000000"/>
          <w:sz w:val="20"/>
          <w:szCs w:val="22"/>
        </w:rPr>
        <w:t>Podaj imię/imiona i nazwisko z dokumentów małoletniego.</w:t>
      </w:r>
    </w:p>
  </w:comment>
  <w:comment w:id="6" w:author="Karolina Gierdal" w:date="2026-05-04T12:34:00Z" w:initials="KG">
    <w:p>
      <w:pPr>
        <w:overflowPunct w:val="true"/>
        <w:spacing w:before="309" w:after="0" w:lineRule="auto" w:line="240"/>
        <w:ind w:left="314" w:right="314" w:hanging="0"/>
        <w:rPr/>
      </w:pPr>
      <w:r>
        <w:annotationRef/>
      </w:r>
      <w:r>
        <w:rPr>
          <w:rFonts w:cs="Arial" w:ascii="Arial" w:hAnsi="Arial"/>
          <w:color w:val="000000"/>
          <w:sz w:val="20"/>
          <w:szCs w:val="22"/>
        </w:rPr>
        <w:t>Podaj adres, który wskazujesz jako miejsce zamieszkania – wraz z kodem pocztowym.</w:t>
      </w:r>
    </w:p>
  </w:comment>
  <w:comment w:id="7" w:author="Karolina Gierdal" w:date="2026-05-04T12:34:00Z" w:initials="KG">
    <w:p>
      <w:pPr>
        <w:overflowPunct w:val="true"/>
        <w:spacing w:before="309" w:after="0" w:lineRule="auto" w:line="240"/>
        <w:ind w:left="314" w:right="314" w:hanging="0"/>
        <w:rPr/>
      </w:pPr>
      <w:r>
        <w:annotationRef/>
      </w:r>
      <w:r>
        <w:rPr>
          <w:rFonts w:cs="Arial" w:ascii="Arial" w:hAnsi="Arial"/>
          <w:color w:val="000000"/>
          <w:sz w:val="20"/>
          <w:szCs w:val="22"/>
        </w:rPr>
        <w:t>Podaj numer PESEL małoletniego.</w:t>
      </w:r>
    </w:p>
  </w:comment>
  <w:comment w:id="8" w:author="Karolina Gierdal" w:date="2026-05-04T12:35:00Z" w:initials="KG">
    <w:p>
      <w:pPr>
        <w:overflowPunct w:val="true"/>
        <w:spacing w:before="309" w:after="0" w:lineRule="auto" w:line="240"/>
        <w:ind w:left="314" w:right="314" w:hanging="0"/>
        <w:rPr/>
      </w:pPr>
      <w:r>
        <w:annotationRef/>
      </w:r>
      <w:r>
        <w:rPr>
          <w:rFonts w:cs="Arial" w:ascii="Arial" w:hAnsi="Arial"/>
          <w:color w:val="000000"/>
          <w:sz w:val="20"/>
          <w:szCs w:val="22"/>
        </w:rPr>
        <w:t xml:space="preserve">Czy chcesz podać adres e-mail i numer telefonu? Nie jest to konieczne, ale może ułatwić kontakt z sądem. </w:t>
      </w:r>
    </w:p>
  </w:comment>
  <w:comment w:id="9" w:author="Karolina Gierdal" w:date="2026-05-04T12:35:00Z" w:initials="KG">
    <w:p>
      <w:pPr>
        <w:overflowPunct w:val="true"/>
        <w:spacing w:before="309" w:after="0" w:lineRule="auto" w:line="240"/>
        <w:ind w:left="314" w:right="314" w:hanging="0"/>
        <w:rPr/>
      </w:pPr>
      <w:r>
        <w:annotationRef/>
      </w:r>
      <w:r>
        <w:rPr>
          <w:rFonts w:cs="Arial" w:ascii="Arial" w:hAnsi="Arial"/>
          <w:color w:val="000000"/>
          <w:sz w:val="20"/>
          <w:szCs w:val="22"/>
        </w:rPr>
        <w:t xml:space="preserve">Czy chcesz podać adres e-mail i numer telefonu? Nie jest to konieczne, ale może ułatwić kontakt z sądem. </w:t>
      </w:r>
    </w:p>
  </w:comment>
  <w:comment w:id="10" w:author="Karolina Gierdal" w:date="2026-05-04T12:35:00Z" w:initials="KG">
    <w:p>
      <w:pPr>
        <w:overflowPunct w:val="false"/>
        <w:spacing w:lineRule="auto" w:line="240"/>
        <w:rPr/>
      </w:pPr>
      <w:r>
        <w:annotationRef/>
      </w:r>
      <w:r>
        <w:rPr>
          <w:color w:val="000000"/>
        </w:rPr>
        <w:t>Czy chcesz podać adres do korespondencji inny niż podane miejsce zamieszkania? Podaj adres do korespondencji.</w:t>
      </w:r>
    </w:p>
  </w:comment>
  <w:comment w:id="11" w:author="Karolina Gierdal" w:date="2026-05-04T12:36:00Z" w:initials="KG">
    <w:p>
      <w:pPr>
        <w:overflowPunct w:val="false"/>
        <w:spacing w:lineRule="auto" w:line="240"/>
        <w:rPr/>
      </w:pPr>
      <w:r>
        <w:annotationRef/>
      </w:r>
      <w:r>
        <w:rPr>
          <w:color w:val="000000"/>
        </w:rPr>
        <w:t>Czy chcesz ustanowić pełnomocnika do doręczeń? Taka osoba będzie upoważniona tylko do odbierania korespondencji z sądu, nie może w twoim/waszym imieniu składać pism do sądu. Pełnomocnik do doręczeń jest obowiązkowy, jeśli rodzice/opiekunowie prawni mieszkają poza Unią Europejską. Podaj imię i nazwisko oraz adres pełnomocnika.</w:t>
      </w:r>
    </w:p>
  </w:comment>
  <w:comment w:id="12" w:author="Karolina Gierdal" w:date="2026-05-04T12:37:00Z" w:initials="KG">
    <w:p>
      <w:pPr>
        <w:overflowPunct w:val="true"/>
        <w:spacing w:before="309" w:after="0" w:lineRule="auto" w:line="240"/>
        <w:ind w:left="314" w:right="314" w:hanging="0"/>
        <w:rPr/>
      </w:pPr>
      <w:r>
        <w:annotationRef/>
      </w:r>
      <w:r>
        <w:rPr>
          <w:rFonts w:cs="Arial" w:ascii="Arial" w:hAnsi="Arial"/>
          <w:color w:val="000000"/>
          <w:sz w:val="20"/>
          <w:szCs w:val="22"/>
        </w:rPr>
        <w:t>Tu trzeba wpisać imię i nazwisko metrykalne</w:t>
      </w:r>
    </w:p>
  </w:comment>
  <w:comment w:id="13" w:author="Karolina Gierdal" w:date="2026-05-04T12:37:00Z" w:initials="KG">
    <w:p>
      <w:pPr>
        <w:overflowPunct w:val="false"/>
        <w:spacing w:lineRule="auto" w:line="240"/>
        <w:rPr/>
      </w:pPr>
      <w:r>
        <w:annotationRef/>
      </w:r>
      <w:r>
        <w:rPr>
          <w:color w:val="000000"/>
        </w:rPr>
        <w:t>Podaj miejscowość, w której znajduje się urząd stanu cywilnego, który wydał akt urodzenia małoletniej</w:t>
      </w:r>
    </w:p>
  </w:comment>
  <w:comment w:id="14" w:author="Karolina Gierdal" w:date="2026-05-04T12:37:00Z" w:initials="KG">
    <w:p>
      <w:pPr>
        <w:overflowPunct w:val="true"/>
        <w:spacing w:before="309" w:after="0" w:lineRule="auto" w:line="240"/>
        <w:ind w:left="314" w:right="314" w:hanging="0"/>
        <w:rPr/>
      </w:pPr>
      <w:r>
        <w:annotationRef/>
      </w:r>
      <w:r>
        <w:rPr>
          <w:rFonts w:cs="Arial" w:ascii="Arial" w:hAnsi="Arial"/>
          <w:color w:val="000000"/>
          <w:sz w:val="20"/>
          <w:szCs w:val="22"/>
        </w:rPr>
        <w:t>Podaj numer aktu urodzenia. W nowej procedurze ukształtowała się praktyka, by do wniosku dołączać zupełny odpis aktu urodzenia. Numer aktu znajdziesz na górze jako „oznaczenie aktu…”</w:t>
      </w:r>
    </w:p>
  </w:comment>
  <w:comment w:id="15" w:author="Karolina Gierdal" w:date="2026-05-04T12:38:00Z" w:initials="KG">
    <w:p>
      <w:pPr>
        <w:overflowPunct w:val="true"/>
        <w:spacing w:lineRule="auto" w:line="240"/>
        <w:rPr/>
      </w:pPr>
      <w:r>
        <w:annotationRef/>
      </w:r>
      <w:r>
        <w:rPr>
          <w:rFonts w:cs="Arial" w:ascii="Arial" w:hAnsi="Arial"/>
          <w:color w:val="000000"/>
          <w:sz w:val="20"/>
          <w:szCs w:val="22"/>
        </w:rPr>
        <w:t xml:space="preserve">Czy chcesz spróbować złożyć wniosek o zmianę imienia lub nazwiska? Niektóre sądy zgadzają się na to, by od razu sprostować też imię/imiona i nazwisko, jeśli jego końcówka wskazuje na płeć. </w:t>
      </w:r>
    </w:p>
    <w:p>
      <w:pPr>
        <w:overflowPunct w:val="true"/>
        <w:spacing w:before="309" w:after="0" w:lineRule="auto" w:line="240"/>
        <w:ind w:left="314" w:right="314" w:hanging="0"/>
        <w:rPr/>
      </w:pPr>
      <w:r>
        <w:rPr>
          <w:rFonts w:cs="Arial" w:ascii="Arial" w:hAnsi="Arial"/>
          <w:color w:val="000000"/>
          <w:sz w:val="20"/>
          <w:szCs w:val="22"/>
        </w:rPr>
        <w:t>Uwaga: argumentacja zawarta we wniosku dotyczy tylko sytuacji, w której obecne imię/imiona/nazwisko wskazują na płeć żeńską. Jeśli małoletni już zmieniał imię na męskie, ale chce je zmienić ponownie na inne imię męskie, to należy wnioskować o to do Urzędu Stanu Cywilnego, a tę sekcję usunąć.</w:t>
      </w:r>
    </w:p>
  </w:comment>
  <w:comment w:id="16" w:author="Karolina Gierdal" w:date="2026-05-04T19:55:00Z" w:initials="KG">
    <w:p>
      <w:pPr>
        <w:overflowPunct w:val="true"/>
        <w:spacing w:before="309" w:after="0" w:lineRule="auto" w:line="240"/>
        <w:ind w:left="314" w:right="314" w:hanging="0"/>
        <w:rPr/>
      </w:pPr>
      <w:r>
        <w:annotationRef/>
      </w:r>
      <w:r>
        <w:rPr>
          <w:rFonts w:cs="Arial" w:ascii="Arial" w:hAnsi="Arial"/>
          <w:color w:val="000000"/>
          <w:sz w:val="20"/>
          <w:szCs w:val="22"/>
        </w:rPr>
        <w:t>Ten fragment będzie przydatny jeśli małoletni ma nazwisko z końcówką wskazującą płeć.</w:t>
      </w:r>
    </w:p>
  </w:comment>
  <w:comment w:id="17" w:author="Karolina Gierdal" w:date="2026-05-04T19:55:00Z" w:initials="KG">
    <w:p>
      <w:pPr>
        <w:overflowPunct w:val="true"/>
        <w:spacing w:before="309" w:after="0" w:lineRule="auto" w:line="240"/>
        <w:ind w:left="314" w:right="314" w:hanging="0"/>
        <w:rPr/>
      </w:pPr>
      <w:r>
        <w:annotationRef/>
      </w:r>
      <w:r>
        <w:rPr>
          <w:rFonts w:cs="Arial" w:ascii="Arial" w:hAnsi="Arial"/>
          <w:color w:val="000000"/>
          <w:sz w:val="20"/>
          <w:szCs w:val="22"/>
        </w:rPr>
        <w:t>Celem tego wniosku jest doprowadzenie do sytuacji, w której po wpłynięciu wniosku, sąd rozpozna sprawę bez rozprawy i bez biegłego.</w:t>
      </w:r>
    </w:p>
  </w:comment>
  <w:comment w:id="18" w:author="Karolina Gierdal" w:date="2026-05-04T12:39:00Z" w:initials="KG">
    <w:p>
      <w:pPr>
        <w:overflowPunct w:val="false"/>
        <w:spacing w:lineRule="auto" w:line="240"/>
        <w:rPr/>
      </w:pPr>
      <w:r>
        <w:annotationRef/>
      </w:r>
      <w:r>
        <w:rPr>
          <w:color w:val="000000"/>
        </w:rPr>
        <w:t xml:space="preserve">Jakimi dowodami dysponujesz? Niezbędne są: zupełny odpis aktu urodzenia, opinie: psychologiczna od psychologa wykwalifikowanego w obszarze niezgodności płciowej oraz zaświadczenie od lekarza psychiatry dzieci i młodzieży (preferencyjnie). W nowej procedurze sądy uznają opinie starsze niż rok (a niekiedy pół roku) za stare i domagają się ich aktualizacji. Warto więc, jeśli ma się starszą opinię, załączyć jej uaktualnienie (np. zwrócić się do specjalisty, by potwierdził/a w dwóch akapitach, że wnioski z poprzedniej opinii są aktualne). Warto jest zaktualizować też opinię, w której postawiono diagnozę F 64.2, a nie F 64.0, choć nie jest to absolutnie konieczne. </w:t>
      </w:r>
    </w:p>
    <w:p>
      <w:pPr>
        <w:overflowPunct w:val="false"/>
        <w:spacing w:lineRule="auto" w:line="240"/>
        <w:rPr/>
      </w:pPr>
      <w:r>
        <w:rPr/>
      </w:r>
    </w:p>
    <w:p>
      <w:pPr>
        <w:overflowPunct w:val="false"/>
        <w:spacing w:lineRule="auto" w:line="240"/>
        <w:rPr/>
      </w:pPr>
      <w:r>
        <w:rPr>
          <w:color w:val="000000"/>
        </w:rPr>
        <w:t xml:space="preserve">Inne dowody są opcjonalne – nie trzeba załączać zaświadczeń o wdrożeniu terapii hormonalnej, zwłaszcza jeśli taka okoliczność wynika z załączonych opinii, decyzji o zmianie imienia/nazwiska, jeśli taka zmiana nastąpiła (załączany jest zupełny akt urodzenia, z którego to już wynika), dowodów na funkcjonowanie jako osoba transpłciowa, jak wydruki z portali społecznościowych, zdjęcia. Jest to możliwe, ale nie trzeba. </w:t>
      </w:r>
    </w:p>
  </w:comment>
  <w:comment w:id="19" w:author="Karolina Gierdal" w:date="2026-05-04T20:02:00Z" w:initials="KG">
    <w:p>
      <w:pPr>
        <w:overflowPunct w:val="true"/>
        <w:spacing w:before="309" w:after="0" w:lineRule="auto" w:line="240"/>
        <w:ind w:left="314" w:right="314" w:hanging="0"/>
        <w:rPr/>
      </w:pPr>
      <w:r>
        <w:annotationRef/>
      </w:r>
      <w:r>
        <w:rPr>
          <w:rFonts w:cs="Arial" w:ascii="Arial" w:hAnsi="Arial"/>
          <w:color w:val="000000"/>
          <w:sz w:val="20"/>
          <w:szCs w:val="22"/>
        </w:rPr>
        <w:t>Do dostosowania w zależności od specjalizacji opiniującego psychologa.</w:t>
      </w:r>
    </w:p>
  </w:comment>
  <w:comment w:id="20" w:author="Karolina Gierdal" w:date="2026-05-04T20:04:00Z" w:initials="KG">
    <w:p>
      <w:pPr>
        <w:overflowPunct w:val="true"/>
        <w:spacing w:before="309" w:after="0" w:lineRule="auto" w:line="240"/>
        <w:ind w:left="314" w:right="314" w:hanging="0"/>
        <w:rPr/>
      </w:pPr>
      <w:r>
        <w:annotationRef/>
      </w:r>
      <w:r>
        <w:rPr>
          <w:rFonts w:cs="Arial" w:ascii="Arial" w:hAnsi="Arial"/>
          <w:color w:val="000000"/>
          <w:sz w:val="20"/>
          <w:szCs w:val="22"/>
        </w:rPr>
        <w:t>Obecnie coraz częściej można spotkać opinie, w których pojawia się rozpoznanie w oparciu o ICD-11, czasem łącznie z rozpoznaniem z ICD-10, a czasem z pominięciem starej klasyfikacji. Sprawdź, jakie rozpoznanie wpisano do  opinii, i w razie potrzeby wykreśl rozpoznanie F64.0 lub HA60.</w:t>
      </w:r>
    </w:p>
  </w:comment>
  <w:comment w:id="21" w:author="Karolina Gierdal" w:date="2026-05-04T20:05:00Z" w:initials="KG">
    <w:p>
      <w:pPr>
        <w:overflowPunct w:val="true"/>
        <w:spacing w:before="309" w:after="0" w:lineRule="auto" w:line="240"/>
        <w:ind w:left="314" w:right="314" w:hanging="0"/>
        <w:rPr/>
      </w:pPr>
      <w:r>
        <w:annotationRef/>
      </w:r>
      <w:r>
        <w:rPr>
          <w:rFonts w:cs="Arial" w:ascii="Arial" w:hAnsi="Arial"/>
          <w:color w:val="000000"/>
          <w:sz w:val="20"/>
          <w:szCs w:val="22"/>
        </w:rPr>
        <w:t>Nie jest to niezbędne, ale jeśli dysponujesz takim dokumentem, warto go załączyć.</w:t>
      </w:r>
    </w:p>
  </w:comment>
  <w:comment w:id="22" w:author="Karolina Gierdal" w:date="2026-05-04T20:07:00Z" w:initials="KG">
    <w:p>
      <w:pPr>
        <w:overflowPunct w:val="true"/>
        <w:spacing w:before="309" w:after="0" w:lineRule="auto" w:line="240"/>
        <w:ind w:left="314" w:right="314" w:hanging="0"/>
        <w:rPr/>
      </w:pPr>
      <w:r>
        <w:annotationRef/>
      </w:r>
      <w:r>
        <w:rPr>
          <w:rFonts w:cs="Arial" w:ascii="Arial" w:hAnsi="Arial"/>
          <w:color w:val="000000"/>
          <w:sz w:val="20"/>
          <w:szCs w:val="22"/>
        </w:rPr>
        <w:t>Jeśli przed złożeniem wniosku małoletni zmieniał imię, to dobrze jest załączyć decyzję jako jeden z dowodów na trwałość poczucia przynależności do płci męskiej. Nie jest to konieczne.</w:t>
      </w:r>
    </w:p>
  </w:comment>
  <w:comment w:id="23" w:author="Karolina Gierdal" w:date="2026-05-04T20:08:00Z" w:initials="KG">
    <w:p>
      <w:pPr>
        <w:overflowPunct w:val="true"/>
        <w:spacing w:before="309" w:after="0" w:lineRule="auto" w:line="240"/>
        <w:ind w:left="314" w:right="314" w:hanging="0"/>
        <w:rPr/>
      </w:pPr>
      <w:r>
        <w:annotationRef/>
      </w:r>
      <w:r>
        <w:rPr>
          <w:rFonts w:cs="Arial" w:ascii="Arial" w:hAnsi="Arial"/>
          <w:color w:val="000000"/>
          <w:sz w:val="20"/>
          <w:szCs w:val="22"/>
        </w:rPr>
        <w:t>Opcjonalne. Jeśli nie masz pewności co załączyć, śmiało możesz to zignorować.</w:t>
      </w:r>
    </w:p>
  </w:comment>
  <w:comment w:id="24" w:author="Karolina Gierdal" w:date="2026-05-04T13:23:00Z" w:initials="KG">
    <w:p>
      <w:pPr>
        <w:overflowPunct w:val="true"/>
        <w:spacing w:before="309" w:after="0" w:lineRule="auto" w:line="240"/>
        <w:ind w:left="314" w:right="314" w:hanging="0"/>
        <w:rPr/>
      </w:pPr>
      <w:r>
        <w:annotationRef/>
      </w:r>
      <w:r>
        <w:rPr>
          <w:rFonts w:cs="Arial" w:ascii="Arial" w:hAnsi="Arial"/>
          <w:color w:val="000000"/>
          <w:sz w:val="20"/>
          <w:szCs w:val="22"/>
        </w:rPr>
        <w:t>Czy chcesz załączyć do wniosku przewodnik RPO? Jest to bardzo obszerny dokument, ale warto go załączyć, także po zmianie procedury. Koszty można ograniczyć, drukując 4 strony tekstu na jednej stronie arkusza papieru dwustronnie. Publikacja jest wtedy dalej czytelna, a szansa na to, że sąd się z nią zapozna, zwłaszcza jeśli sędzia nie miał/a wcześniej do czynienia ze sprawą o zmianę oznaczenia płci, zwiększa się.</w:t>
      </w:r>
    </w:p>
    <w:p>
      <w:pPr>
        <w:overflowPunct w:val="true"/>
        <w:spacing w:before="309" w:after="0" w:lineRule="auto" w:line="240"/>
        <w:ind w:left="314" w:right="314" w:hanging="0"/>
        <w:rPr/>
      </w:pPr>
      <w:r>
        <w:rPr/>
      </w:r>
    </w:p>
    <w:p>
      <w:pPr>
        <w:overflowPunct w:val="true"/>
        <w:spacing w:before="309" w:after="0" w:lineRule="auto" w:line="240"/>
        <w:ind w:left="314" w:right="314" w:hanging="0"/>
        <w:rPr/>
      </w:pPr>
      <w:r>
        <w:rPr>
          <w:rFonts w:cs="Arial" w:ascii="Arial" w:hAnsi="Arial"/>
          <w:color w:val="000000"/>
          <w:sz w:val="20"/>
          <w:szCs w:val="22"/>
        </w:rPr>
        <w:t>Uwaga – w 2024 r. wyszła nowa wersja przewodnika, zawierająca m.in. jednoznaczne zalecenia, by nie powoływać biegłego czy rozpoznawać sprawy na posiedzeniach niejawnych, bez wyznaczania rozprawy. Upewnij się, że drukujesz właściwą edycję przewodnika (zwróć uwagę na różnice w tytule, nowa wersja to: „Postępowania w sprawach o uzgodnienie płci. Przewodnik”, podczas gdy stara wersja zatytułowana była: „Postępowania w sprawach o ustalenie płci. Przewodnik dla sędziów i pełnomocników”).</w:t>
      </w:r>
    </w:p>
    <w:p>
      <w:pPr>
        <w:overflowPunct w:val="true"/>
        <w:spacing w:before="309" w:after="0" w:lineRule="auto" w:line="240"/>
        <w:ind w:left="314" w:right="314" w:hanging="0"/>
        <w:rPr/>
      </w:pPr>
      <w:r>
        <w:rPr/>
      </w:r>
    </w:p>
    <w:p>
      <w:pPr>
        <w:overflowPunct w:val="true"/>
        <w:spacing w:before="309" w:after="0" w:lineRule="auto" w:line="240"/>
        <w:ind w:left="314" w:right="314" w:hanging="0"/>
        <w:rPr/>
      </w:pPr>
      <w:r>
        <w:rPr>
          <w:rFonts w:cs="Arial" w:ascii="Arial" w:hAnsi="Arial"/>
          <w:color w:val="000000"/>
          <w:sz w:val="20"/>
          <w:szCs w:val="22"/>
        </w:rPr>
        <w:t>Teoretycznie wystarczy podanie linku, ale bezpieczniej jest wydrukować, ponieważ nie wiesz na jakiego sędziego trafisz.</w:t>
      </w:r>
    </w:p>
  </w:comment>
  <w:comment w:id="25" w:author="Karolina Gierdal" w:date="2026-05-04T20:09:00Z" w:initials="KG">
    <w:p>
      <w:pPr>
        <w:overflowPunct w:val="true"/>
        <w:spacing w:before="309" w:after="0" w:lineRule="auto" w:line="240"/>
        <w:ind w:left="314" w:right="314" w:hanging="0"/>
        <w:rPr/>
      </w:pPr>
      <w:r>
        <w:annotationRef/>
      </w:r>
      <w:r>
        <w:rPr>
          <w:rFonts w:cs="Arial" w:ascii="Arial" w:hAnsi="Arial"/>
          <w:color w:val="000000"/>
          <w:sz w:val="20"/>
          <w:szCs w:val="22"/>
        </w:rPr>
        <w:t>W tym fragmencie należy przedstawić najbardziej podstawowe fakty dotyczące tranzycji medycznej i społecznej małoletniego. Nie jest konieczne szczegółowe opisywanie życia czy rozpisywanie się na temat dzieciństwa. Zalecane jest, by w tym fragmencie pojawiły się informacje o:</w:t>
      </w:r>
    </w:p>
    <w:p>
      <w:pPr>
        <w:overflowPunct w:val="true"/>
        <w:spacing w:before="309" w:after="0" w:lineRule="auto" w:line="240"/>
        <w:ind w:left="314" w:right="314" w:hanging="0"/>
        <w:rPr/>
      </w:pPr>
      <w:r>
        <w:rPr>
          <w:rFonts w:cs="Arial" w:ascii="Arial" w:hAnsi="Arial"/>
          <w:color w:val="000000"/>
          <w:sz w:val="20"/>
          <w:szCs w:val="22"/>
        </w:rPr>
        <w:t>- miejscu i dacie urodzenia;</w:t>
      </w:r>
    </w:p>
    <w:p>
      <w:pPr>
        <w:overflowPunct w:val="true"/>
        <w:spacing w:before="309" w:after="0" w:lineRule="auto" w:line="240"/>
        <w:ind w:left="314" w:right="314" w:hanging="0"/>
        <w:rPr/>
      </w:pPr>
      <w:r>
        <w:rPr>
          <w:rFonts w:cs="Arial" w:ascii="Arial" w:hAnsi="Arial"/>
          <w:color w:val="000000"/>
          <w:sz w:val="20"/>
          <w:szCs w:val="22"/>
        </w:rPr>
        <w:t>- okresie, gdy wykształciła się u małoletniego świadomość męskiej tożsamości płciowej;</w:t>
      </w:r>
    </w:p>
    <w:p>
      <w:pPr>
        <w:overflowPunct w:val="true"/>
        <w:spacing w:before="309" w:after="0" w:lineRule="auto" w:line="240"/>
        <w:ind w:left="314" w:right="314" w:hanging="0"/>
        <w:rPr/>
      </w:pPr>
      <w:r>
        <w:rPr>
          <w:rFonts w:cs="Arial" w:ascii="Arial" w:hAnsi="Arial"/>
          <w:color w:val="000000"/>
          <w:sz w:val="20"/>
          <w:szCs w:val="22"/>
        </w:rPr>
        <w:t>- przebiegu tranzycji medycznej;</w:t>
      </w:r>
    </w:p>
    <w:p>
      <w:pPr>
        <w:overflowPunct w:val="true"/>
        <w:spacing w:before="309" w:after="0" w:lineRule="auto" w:line="240"/>
        <w:ind w:left="314" w:right="314" w:hanging="0"/>
        <w:rPr/>
      </w:pPr>
      <w:r>
        <w:rPr>
          <w:rFonts w:cs="Arial" w:ascii="Arial" w:hAnsi="Arial"/>
          <w:color w:val="000000"/>
          <w:sz w:val="20"/>
          <w:szCs w:val="22"/>
        </w:rPr>
        <w:t>- tranzycji społecznej (w jakich obszarach małoletni funkcjonuje jako osoba męska);</w:t>
      </w:r>
    </w:p>
    <w:p>
      <w:pPr>
        <w:overflowPunct w:val="true"/>
        <w:spacing w:before="309" w:after="0" w:lineRule="auto" w:line="240"/>
        <w:ind w:left="314" w:right="314" w:hanging="0"/>
        <w:rPr/>
      </w:pPr>
      <w:r>
        <w:rPr>
          <w:rFonts w:cs="Arial" w:ascii="Arial" w:hAnsi="Arial"/>
          <w:color w:val="000000"/>
          <w:sz w:val="20"/>
          <w:szCs w:val="22"/>
        </w:rPr>
        <w:t>- trudnościach, jakie powoduje brak zmiany oznaczenia płci/imienia.</w:t>
      </w:r>
    </w:p>
    <w:p>
      <w:pPr>
        <w:overflowPunct w:val="true"/>
        <w:spacing w:before="309" w:after="0" w:lineRule="auto" w:line="240"/>
        <w:ind w:left="314" w:right="314" w:hanging="0"/>
        <w:rPr/>
      </w:pPr>
      <w:r>
        <w:rPr/>
      </w:r>
    </w:p>
    <w:p>
      <w:pPr>
        <w:overflowPunct w:val="true"/>
        <w:spacing w:before="309" w:after="0" w:lineRule="auto" w:line="240"/>
        <w:ind w:left="314" w:right="314" w:hanging="0"/>
        <w:rPr/>
      </w:pPr>
      <w:r>
        <w:rPr>
          <w:rFonts w:cs="Arial" w:ascii="Arial" w:hAnsi="Arial"/>
          <w:color w:val="000000"/>
          <w:sz w:val="20"/>
          <w:szCs w:val="22"/>
        </w:rPr>
        <w:t>Poniżej pokazujemy przykładowy opis tej części, możesz też go wykorzystać i dostosować do swoich potrzeb.</w:t>
      </w:r>
    </w:p>
  </w:comment>
  <w:comment w:id="26" w:author="Karolina Gierdal" w:date="2026-05-04T20:12:00Z" w:initials="KG">
    <w:p>
      <w:pPr>
        <w:overflowPunct w:val="true"/>
        <w:spacing w:before="309" w:after="0" w:lineRule="auto" w:line="240"/>
        <w:ind w:left="314" w:right="314" w:hanging="0"/>
        <w:rPr/>
      </w:pPr>
      <w:r>
        <w:annotationRef/>
      </w:r>
      <w:r>
        <w:rPr>
          <w:rFonts w:cs="Arial" w:ascii="Arial" w:hAnsi="Arial"/>
          <w:color w:val="000000"/>
          <w:sz w:val="20"/>
          <w:szCs w:val="22"/>
        </w:rPr>
        <w:t>Data urodzenia małoletniego.</w:t>
      </w:r>
    </w:p>
    <w:p>
      <w:pPr>
        <w:overflowPunct w:val="true"/>
        <w:spacing w:before="309" w:after="0" w:lineRule="auto" w:line="240"/>
        <w:ind w:left="314" w:right="314" w:hanging="0"/>
        <w:rPr/>
      </w:pPr>
      <w:r>
        <w:rPr/>
      </w:r>
    </w:p>
  </w:comment>
  <w:comment w:id="27" w:author="Karolina Gierdal" w:date="2026-05-04T20:12:00Z" w:initials="KG">
    <w:p>
      <w:pPr>
        <w:overflowPunct w:val="true"/>
        <w:spacing w:before="309" w:after="0" w:lineRule="auto" w:line="240"/>
        <w:ind w:left="314" w:right="314" w:hanging="0"/>
        <w:rPr/>
      </w:pPr>
      <w:r>
        <w:annotationRef/>
      </w:r>
      <w:r>
        <w:rPr>
          <w:rFonts w:cs="Arial" w:ascii="Arial" w:hAnsi="Arial"/>
          <w:color w:val="000000"/>
          <w:sz w:val="20"/>
          <w:szCs w:val="22"/>
        </w:rPr>
        <w:t>Miejsce urodzenia małoletniego.</w:t>
      </w:r>
    </w:p>
  </w:comment>
  <w:comment w:id="28" w:author="Karolina Gierdal" w:date="2026-05-04T20:12:00Z" w:initials="KG">
    <w:p>
      <w:pPr>
        <w:overflowPunct w:val="true"/>
        <w:spacing w:before="309" w:after="0" w:lineRule="auto" w:line="240"/>
        <w:ind w:left="314" w:right="314" w:hanging="0"/>
        <w:rPr/>
      </w:pPr>
      <w:r>
        <w:annotationRef/>
      </w:r>
      <w:r>
        <w:rPr>
          <w:rFonts w:cs="Arial" w:ascii="Arial" w:hAnsi="Arial"/>
          <w:color w:val="000000"/>
          <w:sz w:val="20"/>
          <w:szCs w:val="22"/>
        </w:rPr>
        <w:t>Imiona rodziców małoletniego.</w:t>
      </w:r>
    </w:p>
  </w:comment>
  <w:comment w:id="29" w:author="Karolina Gierdal" w:date="2026-05-04T20:13:00Z" w:initials="KG">
    <w:p>
      <w:pPr>
        <w:overflowPunct w:val="false"/>
        <w:spacing w:lineRule="auto" w:line="240"/>
        <w:rPr/>
      </w:pPr>
      <w:r>
        <w:annotationRef/>
      </w:r>
      <w:r>
        <w:rPr>
          <w:color w:val="000000"/>
        </w:rPr>
        <w:t>Miejscowość, w której znajdował się urząd stanu cywilnego, który sporządził akt urodzenia.</w:t>
      </w:r>
    </w:p>
  </w:comment>
  <w:comment w:id="30" w:author="Karolina Gierdal" w:date="2026-05-04T20:13:00Z" w:initials="KG">
    <w:p>
      <w:pPr>
        <w:overflowPunct w:val="true"/>
        <w:spacing w:before="309" w:after="0" w:lineRule="auto" w:line="240"/>
        <w:ind w:left="314" w:right="314" w:hanging="0"/>
        <w:rPr/>
      </w:pPr>
      <w:r>
        <w:annotationRef/>
      </w:r>
      <w:r>
        <w:rPr>
          <w:rFonts w:cs="Arial" w:ascii="Arial" w:hAnsi="Arial"/>
          <w:color w:val="000000"/>
          <w:sz w:val="20"/>
          <w:szCs w:val="22"/>
        </w:rPr>
        <w:t>Numer aktu urodzenia małoletniego.</w:t>
      </w:r>
    </w:p>
  </w:comment>
  <w:comment w:id="31" w:author="Karolina Gierdal" w:date="2026-05-04T20:15:00Z" w:initials="KG">
    <w:p>
      <w:pPr>
        <w:overflowPunct w:val="true"/>
        <w:spacing w:before="309" w:after="0" w:lineRule="auto" w:line="240"/>
        <w:ind w:left="314" w:right="314" w:hanging="0"/>
        <w:rPr/>
      </w:pPr>
      <w:r>
        <w:annotationRef/>
      </w:r>
      <w:r>
        <w:rPr>
          <w:rFonts w:cs="Arial" w:ascii="Arial" w:hAnsi="Arial"/>
          <w:color w:val="000000"/>
          <w:sz w:val="20"/>
          <w:szCs w:val="22"/>
        </w:rPr>
        <w:t>Dostosuj ten fragment do posiadanych opinii.</w:t>
      </w:r>
    </w:p>
  </w:comment>
  <w:comment w:id="32" w:author="Karolina Gierdal" w:date="2026-05-04T13:25:00Z" w:initials="KG">
    <w:p>
      <w:pPr>
        <w:overflowPunct w:val="true"/>
        <w:spacing w:before="309" w:after="0" w:lineRule="auto" w:line="240"/>
        <w:ind w:left="314" w:right="314" w:hanging="0"/>
        <w:rPr/>
      </w:pPr>
      <w:r>
        <w:annotationRef/>
      </w:r>
      <w:r>
        <w:rPr>
          <w:rFonts w:cs="Arial" w:ascii="Arial" w:hAnsi="Arial"/>
          <w:color w:val="000000"/>
          <w:sz w:val="20"/>
          <w:szCs w:val="22"/>
        </w:rPr>
        <w:t>Dysforia przy ICD-10, niezgodność przy ICD-11</w:t>
      </w:r>
    </w:p>
  </w:comment>
  <w:comment w:id="33" w:author="Karolina Gierdal" w:date="2026-05-04T20:16:00Z" w:initials="KG">
    <w:p>
      <w:pPr>
        <w:overflowPunct w:val="true"/>
        <w:spacing w:before="309" w:after="0" w:lineRule="auto" w:line="240"/>
        <w:ind w:left="314" w:right="314" w:hanging="0"/>
        <w:rPr/>
      </w:pPr>
      <w:r>
        <w:annotationRef/>
      </w:r>
      <w:r>
        <w:rPr>
          <w:rFonts w:cs="Arial" w:ascii="Arial" w:hAnsi="Arial"/>
          <w:color w:val="000000"/>
          <w:sz w:val="20"/>
          <w:szCs w:val="22"/>
        </w:rPr>
        <w:t>Jeśli wnioskodawca nie przechodził żadnych testów psychologicznych (informacja o tym będzie zawarta w opinii), fragment ten można wykreślić.</w:t>
      </w:r>
    </w:p>
  </w:comment>
  <w:comment w:id="34" w:author="Karolina Gierdal" w:date="2026-05-04T20:17:00Z" w:initials="KG">
    <w:p>
      <w:pPr>
        <w:overflowPunct w:val="true"/>
        <w:spacing w:before="309" w:after="0" w:lineRule="auto" w:line="240"/>
        <w:ind w:left="314" w:right="314" w:hanging="0"/>
        <w:rPr/>
      </w:pPr>
      <w:r>
        <w:annotationRef/>
      </w:r>
      <w:r>
        <w:rPr>
          <w:rFonts w:cs="Arial" w:ascii="Arial" w:hAnsi="Arial"/>
          <w:color w:val="000000"/>
          <w:sz w:val="20"/>
          <w:szCs w:val="22"/>
        </w:rPr>
        <w:t xml:space="preserve"> Czy wdrożono u małoletniego maskulinizującą terapię hormonalną? Jeśli tak, to od kiedy?</w:t>
      </w:r>
    </w:p>
  </w:comment>
  <w:comment w:id="35" w:author="Karolina Gierdal" w:date="2026-05-04T20:18:00Z" w:initials="KG">
    <w:p>
      <w:pPr>
        <w:overflowPunct w:val="true"/>
        <w:spacing w:before="309" w:after="0" w:lineRule="auto" w:line="240"/>
        <w:ind w:left="314" w:right="314" w:hanging="0"/>
        <w:rPr/>
      </w:pPr>
      <w:r>
        <w:annotationRef/>
      </w:r>
      <w:r>
        <w:rPr>
          <w:rFonts w:cs="Arial" w:ascii="Arial" w:hAnsi="Arial"/>
          <w:color w:val="000000"/>
          <w:sz w:val="20"/>
          <w:szCs w:val="22"/>
        </w:rPr>
        <w:t>Dostosować do swojej sytuacji.</w:t>
      </w:r>
    </w:p>
  </w:comment>
  <w:comment w:id="36" w:author="Karolina Gierdal" w:date="2026-05-04T13:27:00Z" w:initials="KG">
    <w:p>
      <w:pPr>
        <w:overflowPunct w:val="true"/>
        <w:spacing w:before="309" w:after="0" w:lineRule="auto" w:line="240"/>
        <w:ind w:left="314" w:right="314" w:hanging="0"/>
        <w:rPr/>
      </w:pPr>
      <w:r>
        <w:annotationRef/>
      </w:r>
      <w:r>
        <w:rPr>
          <w:rFonts w:cs="Arial" w:ascii="Arial" w:hAnsi="Arial"/>
          <w:color w:val="000000"/>
          <w:sz w:val="20"/>
          <w:szCs w:val="22"/>
        </w:rPr>
        <w:t xml:space="preserve"> Proponowany przez nas wzór wniosku zawiera obszerne uzasadnienie prawne. Znane są nam głosy, że sędziowie nie chcą czytać długich wniosków i że może to wpłynąć negatywnie na szybkość postępowania. W praktyce nic takiego nie ma miejsca. Wniosek wyraźnie wyodrębnia część uzasadnienia, która dotyczy twojej indywidualnej sytuacji, od ogólnych uwag o stanie prawnym i uzasadnienia poszczególnych wniosków. Jeśli sąd będzie już znać ten wzór, to po prostu pominie kolejny raz czytanie tego samego fragmentu. Jednocześnie, jeśli w danym sądzie takich spraw jeszcze nie było lub dla sędziego jest to pierwsza taka sprawa, szczegółowa rozpiska z odwołaniem do źródeł może i będzie dla sądu pomocna przy decydowaniu jak ma działać. W Polsce działa 47 sądów okręgowych i aż 318 sądów rejonowych. Prawdopodobieństwo trafienia do sądu lub sędziego, którzy nie spotkali się nigdy z podobną sprawą jest więc dużo większa, niż przy poprzedniej procedurze.</w:t>
      </w:r>
    </w:p>
  </w:comment>
  <w:comment w:id="37" w:author="Karolina Gierdal" w:date="2026-05-04T20:31:00Z" w:initials="KG">
    <w:p>
      <w:pPr>
        <w:overflowPunct w:val="true"/>
        <w:spacing w:before="309" w:after="0" w:lineRule="auto" w:line="240"/>
        <w:ind w:left="314" w:right="314" w:hanging="0"/>
        <w:rPr/>
      </w:pPr>
      <w:r>
        <w:annotationRef/>
      </w:r>
      <w:r>
        <w:rPr>
          <w:rFonts w:cs="Arial" w:ascii="Arial" w:hAnsi="Arial"/>
          <w:color w:val="000000"/>
          <w:sz w:val="20"/>
          <w:szCs w:val="22"/>
        </w:rPr>
        <w:t>Niestety w przypadku osób małoletnich powołanie biegłego jest niemal pewne. Jeśli do pełnoletności zostało niewiele (np. parę miesięcy) można rozważyć poczekanie do 18 r.ż., by zwiększyć prawdopodobieństwo przejścia przez procedurę bez powołania biegłych.</w:t>
      </w:r>
    </w:p>
  </w:comment>
  <w:comment w:id="38" w:author="Karolina Gierdal" w:date="2026-05-04T20:21:00Z" w:initials="KG">
    <w:p>
      <w:pPr>
        <w:overflowPunct w:val="true"/>
        <w:spacing w:before="309" w:after="0" w:lineRule="auto" w:line="240"/>
        <w:ind w:left="314" w:right="314" w:hanging="0"/>
        <w:rPr/>
      </w:pPr>
      <w:r>
        <w:annotationRef/>
      </w:r>
      <w:r>
        <w:rPr>
          <w:rFonts w:cs="Arial" w:ascii="Arial" w:hAnsi="Arial"/>
          <w:color w:val="000000"/>
          <w:sz w:val="20"/>
          <w:szCs w:val="22"/>
        </w:rPr>
        <w:t>Fragment wzoru opracowany przez r. pr. Damiana Ruhma</w:t>
      </w:r>
    </w:p>
  </w:comment>
  <w:comment w:id="40" w:author="Karolina Gierdal" w:date="2026-05-04T20:22:00Z" w:initials="KG">
    <w:p>
      <w:pPr>
        <w:overflowPunct w:val="true"/>
        <w:spacing w:before="309" w:after="0" w:lineRule="auto" w:line="240"/>
        <w:ind w:left="314" w:right="314" w:hanging="0"/>
        <w:rPr/>
      </w:pPr>
      <w:r>
        <w:annotationRef/>
      </w:r>
      <w:r>
        <w:rPr>
          <w:rFonts w:cs="Arial" w:ascii="Arial" w:hAnsi="Arial"/>
          <w:color w:val="000000"/>
          <w:sz w:val="20"/>
          <w:szCs w:val="22"/>
        </w:rPr>
        <w:t>Do dostosowania w zależności od sytuacji. Jeśli nie wnioskuje się o zmianę imienia, cały fragment można usunąć.</w:t>
      </w:r>
    </w:p>
  </w:comment>
  <w:comment w:id="39" w:author="Karolina Gierdal" w:date="2026-05-04T20:22:00Z" w:initials="KG">
    <w:p>
      <w:pPr>
        <w:overflowPunct w:val="true"/>
        <w:spacing w:before="309" w:after="0" w:lineRule="auto" w:line="240"/>
        <w:ind w:left="314" w:right="314" w:hanging="0"/>
        <w:rPr/>
      </w:pPr>
      <w:r>
        <w:annotationRef/>
      </w:r>
      <w:r>
        <w:rPr>
          <w:rFonts w:cs="Arial" w:ascii="Arial" w:hAnsi="Arial"/>
          <w:color w:val="000000"/>
          <w:sz w:val="20"/>
          <w:szCs w:val="22"/>
        </w:rPr>
        <w:t xml:space="preserve">Fragment wzoru opracowany przez adw. Mikołaja Świstowskiego. </w:t>
      </w:r>
    </w:p>
  </w:comment>
  <w:comment w:id="41" w:author="Karolina Gierdal" w:date="2026-05-04T20:23:00Z" w:initials="KG">
    <w:p>
      <w:pPr>
        <w:overflowPunct w:val="true"/>
        <w:spacing w:before="309" w:after="0" w:lineRule="auto" w:line="240"/>
        <w:ind w:left="314" w:right="314" w:hanging="0"/>
        <w:rPr/>
      </w:pPr>
      <w:r>
        <w:annotationRef/>
      </w:r>
      <w:r>
        <w:rPr>
          <w:rFonts w:cs="Arial" w:ascii="Arial" w:hAnsi="Arial"/>
          <w:color w:val="000000"/>
          <w:sz w:val="20"/>
          <w:szCs w:val="22"/>
        </w:rPr>
        <w:t>Do dostosowania w zależności od tego, o co się wnosi.</w:t>
      </w:r>
    </w:p>
  </w:comment>
  <w:comment w:id="42" w:author="Karolina Gierdal" w:date="2026-05-04T13:29:00Z" w:initials="KG">
    <w:p>
      <w:pPr>
        <w:overflowPunct w:val="true"/>
        <w:spacing w:before="309" w:after="0" w:lineRule="auto" w:line="240"/>
        <w:ind w:left="314" w:right="314" w:hanging="0"/>
        <w:rPr/>
      </w:pPr>
      <w:r>
        <w:annotationRef/>
      </w:r>
      <w:r>
        <w:rPr>
          <w:rFonts w:cs="Arial" w:ascii="Arial" w:hAnsi="Arial"/>
          <w:color w:val="000000"/>
          <w:sz w:val="20"/>
          <w:szCs w:val="22"/>
        </w:rPr>
        <w:t>Na wydrukowanym wniosku muszą znaleźć się własnoręczne, najlepiej czytelne podpisy obojga rodziców/opiekunów prawnych</w:t>
      </w:r>
    </w:p>
  </w:comment>
  <w:comment w:id="43" w:author="Karolina Gierdal" w:date="2026-05-04T20:24:00Z" w:initials="KG">
    <w:p>
      <w:pPr>
        <w:overflowPunct w:val="true"/>
        <w:spacing w:before="309" w:after="0" w:lineRule="auto" w:line="240"/>
        <w:ind w:left="314" w:right="314" w:hanging="0"/>
        <w:rPr/>
      </w:pPr>
      <w:r>
        <w:annotationRef/>
      </w:r>
      <w:r>
        <w:rPr>
          <w:rFonts w:cs="Arial" w:ascii="Arial" w:hAnsi="Arial"/>
          <w:color w:val="000000"/>
          <w:sz w:val="20"/>
          <w:szCs w:val="22"/>
        </w:rPr>
        <w:t>Dobrą praktyką jest ponumerowanie załączników zgodnie z kolejnością wymienioną w tym miejscu pozwu. Oryginał pozwu i jego odpisy należy włożyć do jednej koperty i nadać listem poleconym. Możesz też złożyć pozew bezpośrednio w biurze podawczym w budynku sądu. Warto wtedy mieć kopię pozwu dla siebie, na której osoba w sądzie przybije tzw. prezentatę na potwierdzenie złożenia pozwu konkretnego dnia.</w:t>
      </w:r>
    </w:p>
  </w:comment>
  <w:comment w:id="44" w:author="Karolina Gierdal" w:date="2026-05-04T13:30:00Z" w:initials="KG">
    <w:p>
      <w:pPr>
        <w:overflowPunct w:val="true"/>
        <w:spacing w:before="309" w:after="0" w:lineRule="auto" w:line="240"/>
        <w:ind w:left="314" w:right="314" w:hanging="0"/>
        <w:rPr/>
      </w:pPr>
      <w:r>
        <w:annotationRef/>
      </w:r>
      <w:r>
        <w:rPr>
          <w:rFonts w:cs="Arial" w:ascii="Arial" w:hAnsi="Arial"/>
          <w:color w:val="000000"/>
          <w:sz w:val="20"/>
          <w:szCs w:val="22"/>
        </w:rPr>
        <w:t>Opłata sądowa może być zapłacona na trzy sposoby:</w:t>
      </w:r>
    </w:p>
    <w:p>
      <w:pPr>
        <w:overflowPunct w:val="true"/>
        <w:spacing w:before="309" w:after="0" w:lineRule="auto" w:line="240"/>
        <w:ind w:left="314" w:right="314" w:hanging="0"/>
        <w:rPr/>
      </w:pPr>
      <w:r>
        <w:rPr>
          <w:rFonts w:cs="Arial" w:ascii="Arial" w:hAnsi="Arial"/>
          <w:color w:val="000000"/>
          <w:sz w:val="20"/>
          <w:szCs w:val="22"/>
        </w:rPr>
        <w:t>1. bezpośrednio na konto sądu, do którego wnoszony jest wniosek; takie informacje znajdują się na stronie internetowej sądu;</w:t>
      </w:r>
    </w:p>
    <w:p>
      <w:pPr>
        <w:overflowPunct w:val="true"/>
        <w:spacing w:before="309" w:after="0" w:lineRule="auto" w:line="240"/>
        <w:ind w:left="314" w:right="314" w:hanging="0"/>
        <w:rPr/>
      </w:pPr>
      <w:r>
        <w:rPr>
          <w:rFonts w:cs="Arial" w:ascii="Arial" w:hAnsi="Arial"/>
          <w:color w:val="000000"/>
          <w:sz w:val="20"/>
          <w:szCs w:val="22"/>
        </w:rPr>
        <w:t>2. bezpośrednio w kasie sądu, ale trzeba wtedy pojawić się osobiście w budynku sądu w godzinach jego pracy;</w:t>
      </w:r>
    </w:p>
    <w:p>
      <w:pPr>
        <w:overflowPunct w:val="true"/>
        <w:spacing w:before="309" w:after="0" w:lineRule="auto" w:line="240"/>
        <w:ind w:left="314" w:right="314" w:hanging="0"/>
        <w:rPr/>
      </w:pPr>
      <w:r>
        <w:rPr>
          <w:rFonts w:cs="Arial" w:ascii="Arial" w:hAnsi="Arial"/>
          <w:color w:val="000000"/>
          <w:sz w:val="20"/>
          <w:szCs w:val="22"/>
        </w:rPr>
        <w:t xml:space="preserve">3. na stronie </w:t>
      </w:r>
      <w:hyperlink r:id="rId1">
        <w:r>
          <w:rPr>
            <w:rFonts w:cs="Arial" w:ascii="Arial" w:hAnsi="Arial"/>
            <w:color w:val="000000"/>
            <w:sz w:val="20"/>
            <w:szCs w:val="22"/>
          </w:rPr>
          <w:t>https://oplaty.ms.gov.pl/znaki-oplaty-sadowej/zakup</w:t>
        </w:r>
      </w:hyperlink>
      <w:r>
        <w:rPr>
          <w:rFonts w:cs="Arial" w:ascii="Arial" w:hAnsi="Arial"/>
          <w:color w:val="000000"/>
          <w:sz w:val="20"/>
          <w:szCs w:val="22"/>
        </w:rPr>
        <w:t>.</w:t>
      </w:r>
    </w:p>
    <w:p>
      <w:pPr>
        <w:overflowPunct w:val="true"/>
        <w:spacing w:before="309" w:after="0" w:lineRule="auto" w:line="240"/>
        <w:ind w:left="314" w:right="314" w:hanging="0"/>
        <w:rPr/>
      </w:pPr>
      <w:r>
        <w:rPr/>
      </w:r>
    </w:p>
    <w:p>
      <w:pPr>
        <w:overflowPunct w:val="true"/>
        <w:spacing w:before="309" w:after="0" w:lineRule="auto" w:line="240"/>
        <w:ind w:left="314" w:right="314" w:hanging="0"/>
        <w:rPr/>
      </w:pPr>
      <w:r>
        <w:rPr>
          <w:rFonts w:cs="Arial" w:ascii="Arial" w:hAnsi="Arial"/>
          <w:color w:val="000000"/>
          <w:sz w:val="20"/>
          <w:szCs w:val="22"/>
        </w:rPr>
        <w:t>Bez względu na formę zapłaty, dowód jej uiszczenia trzeba załączyć do wniosku.</w:t>
      </w:r>
    </w:p>
  </w:comment>
  <w:comment w:id="45" w:author="Karolina Gierdal" w:date="2026-05-04T20:26:00Z" w:initials="KG">
    <w:p>
      <w:pPr>
        <w:overflowPunct w:val="true"/>
        <w:spacing w:before="309" w:after="0" w:lineRule="auto" w:line="240"/>
        <w:ind w:left="314" w:right="314" w:hanging="0"/>
        <w:rPr/>
      </w:pPr>
      <w:r>
        <w:annotationRef/>
      </w:r>
      <w:r>
        <w:rPr>
          <w:rFonts w:cs="Arial" w:ascii="Arial" w:hAnsi="Arial"/>
          <w:color w:val="000000"/>
          <w:sz w:val="20"/>
          <w:szCs w:val="22"/>
        </w:rPr>
        <w:t>Dostosuj te załączniki do posiadanych opinii.</w:t>
      </w:r>
    </w:p>
  </w:comment>
  <w:comment w:id="46" w:author="Karolina Gierdal" w:date="2026-05-04T20:29:00Z" w:initials="KG">
    <w:p>
      <w:pPr>
        <w:overflowPunct w:val="true"/>
        <w:spacing w:before="309" w:after="0" w:lineRule="auto" w:line="240"/>
        <w:ind w:left="314" w:right="314" w:hanging="0"/>
        <w:rPr/>
      </w:pPr>
      <w:r>
        <w:annotationRef/>
      </w:r>
      <w:r>
        <w:rPr>
          <w:rFonts w:cs="Arial" w:ascii="Arial" w:hAnsi="Arial"/>
          <w:color w:val="000000"/>
          <w:sz w:val="20"/>
          <w:szCs w:val="22"/>
        </w:rPr>
        <w:t>Tak, to strasznie słabe, że trzeba to drukować w całości, ale warto</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Helvetica">
    <w:altName w:val="Arial"/>
    <w:charset w:val="ee"/>
    <w:family w:val="swiss"/>
    <w:pitch w:val="variable"/>
  </w:font>
  <w:font w:name="Liberation Sans">
    <w:altName w:val="Arial"/>
    <w:charset w:val="ee"/>
    <w:family w:val="swiss"/>
    <w:pitch w:val="variable"/>
  </w:font>
  <w:font w:name="Arial">
    <w:charset w:val="ee"/>
    <w:family w:val="swiss"/>
    <w:pitch w:val="variable"/>
  </w:font>
  <w:font w:name="Helvetica Neue">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spacing w:lineRule="auto" w:line="360"/>
        <w:rPr>
          <w:i/>
          <w:iCs/>
        </w:rPr>
      </w:pPr>
      <w:r>
        <w:rPr>
          <w:rStyle w:val="Znakiprzypiswdolnych"/>
        </w:rPr>
        <w:footnoteRef/>
      </w:r>
      <w:r>
        <w:rPr/>
        <w:t xml:space="preserve"> </w:t>
      </w:r>
      <w:r>
        <w:rPr/>
        <w:t>https://bip.brpo.gov.pl/sites/default/files/2024-02/Postepowania_w_sprawach_o_uzgodnienie_plci_Przewodnik_WCAG_dostepny.pdf</w:t>
      </w:r>
    </w:p>
  </w:footnote>
  <w:footnote w:id="3">
    <w:p>
      <w:pPr>
        <w:pStyle w:val="Normal"/>
        <w:spacing w:lineRule="auto" w:line="360"/>
        <w:rPr/>
      </w:pPr>
      <w:r>
        <w:rPr>
          <w:rStyle w:val="Znakiprzypiswdolnych"/>
        </w:rPr>
        <w:footnoteRef/>
      </w:r>
      <w:r>
        <w:rPr>
          <w:rFonts w:eastAsia="Times New Roman"/>
          <w:sz w:val="20"/>
          <w:szCs w:val="20"/>
        </w:rPr>
        <w:t xml:space="preserve"> </w:t>
      </w:r>
      <w:r>
        <w:rPr>
          <w:rFonts w:eastAsia="Times New Roman"/>
          <w:sz w:val="20"/>
          <w:szCs w:val="20"/>
        </w:rPr>
        <w:t>Skrót ustnego uzasadnienia został opublikowany na stronie SN w części zawierającej komunikaty: https://www.sn.pl/aktualnosci/SitePages/Komunikaty_o_sprawach.aspx?ItemSID=695-b6b3e804-2752-4c7d-bcb4-7586782a1315&amp;ListName=Komunikaty_o_sprawach</w:t>
      </w:r>
    </w:p>
  </w:footnote>
  <w:footnote w:id="4">
    <w:p>
      <w:pPr>
        <w:pStyle w:val="Normal"/>
        <w:spacing w:lineRule="auto" w:line="360"/>
        <w:rPr/>
      </w:pPr>
      <w:r>
        <w:rPr>
          <w:rStyle w:val="Znakiprzypiswdolnych"/>
        </w:rPr>
        <w:footnoteRef/>
      </w:r>
      <w:r>
        <w:rPr>
          <w:rFonts w:eastAsia="Times New Roman"/>
          <w:sz w:val="20"/>
          <w:szCs w:val="20"/>
        </w:rPr>
        <w:t xml:space="preserve"> </w:t>
      </w:r>
      <w:r>
        <w:rPr>
          <w:rFonts w:eastAsia="Times New Roman"/>
          <w:sz w:val="20"/>
          <w:szCs w:val="20"/>
        </w:rPr>
        <w:t>Wątpliwości te wynikają przede wszystkim z uchwały trzech Izb Sądu Najwyższego z 23.01.2020 r. (BSA-I-4110-1/2020), a także późniejszego orzecznictwa Trybunału Sprawiedliwości Unii Europejskiej czy Europejskiego Trybunału Praw Człowieka, w których wskazuje się na wpływ takiej nominacji na ocenę bezstronności i niezawisłości sędziego i w konsekwencji – wpływ na ważność wydanego orzeczenia. Również wszystkie obecnie projektowane ustawy dotyczące funkcjonowania sądownictwa przewidują, że orzeczenia wydane przez SN w składach, w których zasiadali tak powołani sędziowie, będą nieważne.</w:t>
      </w:r>
    </w:p>
  </w:footnote>
  <w:footnote w:id="5">
    <w:p>
      <w:pPr>
        <w:pStyle w:val="Normal"/>
        <w:spacing w:lineRule="auto" w:line="360"/>
        <w:rPr>
          <w:sz w:val="20"/>
          <w:szCs w:val="20"/>
        </w:rPr>
      </w:pPr>
      <w:r>
        <w:rPr>
          <w:rStyle w:val="Znakiprzypiswdolnych"/>
        </w:rPr>
        <w:footnoteRef/>
      </w:r>
      <w:r>
        <w:rPr>
          <w:rFonts w:eastAsia="Times New Roman"/>
          <w:sz w:val="20"/>
          <w:szCs w:val="20"/>
        </w:rPr>
        <w:t xml:space="preserve"> </w:t>
      </w:r>
      <w:r>
        <w:rPr>
          <w:rFonts w:eastAsia="Times New Roman"/>
          <w:sz w:val="20"/>
          <w:szCs w:val="20"/>
        </w:rPr>
        <w:t xml:space="preserve">Zalecenie CM/Rec(2010)5 Komitetu Ministrów dla Państw Członkowskich w zakresie środków </w:t>
      </w:r>
      <w:r>
        <w:rPr>
          <w:rFonts w:eastAsia="Times New Roman"/>
          <w:color w:themeColor="text1" w:val="000000"/>
          <w:sz w:val="20"/>
          <w:szCs w:val="20"/>
        </w:rPr>
        <w:t>zwalczania dyskryminacji opartej na orientacji seksualnej lub tożsamości płciowej. Tłumaczenie oficjalne Ministerstwa Sprawiedliwości za:</w:t>
      </w:r>
      <w:hyperlink r:id="rId1">
        <w:r>
          <w:rPr>
            <w:rStyle w:val="Hyperlink"/>
            <w:rFonts w:eastAsia="Times New Roman"/>
            <w:color w:themeColor="text1" w:val="000000"/>
            <w:sz w:val="20"/>
            <w:szCs w:val="20"/>
          </w:rPr>
          <w:t xml:space="preserve"> </w:t>
        </w:r>
      </w:hyperlink>
      <w:r>
        <w:rPr>
          <w:rFonts w:eastAsia="Times New Roman"/>
          <w:color w:themeColor="text1" w:val="000000"/>
          <w:sz w:val="20"/>
          <w:szCs w:val="20"/>
        </w:rPr>
        <w:t xml:space="preserve">https://arch-bip.ms.gov.pl/pl/prawa-czlowieka/inne-organizacje-miedzynarodowe-i-prawa-czlowieka/prawa-czlowieka-w-radzie-europy-/download,2254,3.html: „Państwa członkowskie powinny przyjąć odpowiednie środki gwarantujące pełne prawne uznanie zmiany płci we wszystkich dziedzinach życia, w szczególności poprzez umożliwienie zmiany imienia, nazwiska </w:t>
      </w:r>
      <w:r>
        <w:rPr>
          <w:rFonts w:eastAsia="Times New Roman"/>
          <w:sz w:val="20"/>
          <w:szCs w:val="20"/>
        </w:rPr>
        <w:t xml:space="preserve">i płci w oficjalnych dokumentach w </w:t>
      </w:r>
      <w:r>
        <w:rPr>
          <w:rFonts w:eastAsia="Times New Roman"/>
          <w:b/>
          <w:sz w:val="20"/>
          <w:szCs w:val="20"/>
        </w:rPr>
        <w:t>sposób szybki, przejrzysty i dostępny</w:t>
      </w:r>
      <w:r>
        <w:rPr>
          <w:rFonts w:eastAsia="Times New Roman"/>
          <w:sz w:val="20"/>
          <w:szCs w:val="20"/>
        </w:rPr>
        <w:t>; państwa członkowskie powinny także zagwarantować, tam gdzie jest to wskazane, odpowiednie uznanie lub wprowadzenie zmian w kluczowych dokumentach wydawanych przez podmioty niepaństwowe [...]”.</w:t>
      </w:r>
    </w:p>
  </w:footnote>
  <w:footnote w:id="6">
    <w:p>
      <w:pPr>
        <w:pStyle w:val="Normal"/>
        <w:spacing w:lineRule="auto" w:line="360"/>
        <w:rPr>
          <w:lang w:val="en-US"/>
        </w:rPr>
      </w:pPr>
      <w:r>
        <w:rPr>
          <w:rStyle w:val="Znakiprzypiswdolnych"/>
        </w:rPr>
        <w:footnoteRef/>
      </w:r>
      <w:r>
        <w:rPr>
          <w:rFonts w:eastAsia="Times New Roman"/>
          <w:sz w:val="20"/>
          <w:szCs w:val="20"/>
          <w:lang w:val="en-US"/>
        </w:rPr>
        <w:t xml:space="preserve"> </w:t>
      </w:r>
      <w:r>
        <w:rPr>
          <w:rFonts w:eastAsia="Times New Roman"/>
          <w:sz w:val="20"/>
          <w:szCs w:val="20"/>
          <w:lang w:val="en-US"/>
        </w:rPr>
        <w:t>ECRI General Policy Recommendation no. 17 on preventing and combating intolerance and discrimination against LGBTI persons, zalecenie przyjęte dnia 28.06.2023 r., CRI(2023)30.</w:t>
      </w:r>
    </w:p>
  </w:footnote>
  <w:footnote w:id="7">
    <w:p>
      <w:pPr>
        <w:pStyle w:val="Normal"/>
        <w:spacing w:lineRule="auto" w:line="360"/>
        <w:rPr>
          <w:rFonts w:eastAsia="Times New Roman"/>
          <w:sz w:val="20"/>
          <w:szCs w:val="20"/>
        </w:rPr>
      </w:pPr>
      <w:r>
        <w:rPr>
          <w:rStyle w:val="Znakiprzypiswdolnych"/>
        </w:rPr>
        <w:footnoteRef/>
      </w:r>
      <w:r>
        <w:rPr>
          <w:rFonts w:eastAsia="Times New Roman"/>
          <w:sz w:val="20"/>
          <w:szCs w:val="20"/>
        </w:rPr>
        <w:t xml:space="preserve"> </w:t>
      </w:r>
      <w:r>
        <w:rPr>
          <w:rFonts w:eastAsia="Times New Roman"/>
          <w:sz w:val="20"/>
          <w:szCs w:val="20"/>
        </w:rPr>
        <w:t>Raport IE SOGI z wizytacji w Gruzji, A/HRC/41/45/Add.1, § 68.</w:t>
      </w:r>
    </w:p>
  </w:footnote>
  <w:footnote w:id="8">
    <w:p>
      <w:pPr>
        <w:pStyle w:val="Normal"/>
        <w:rPr>
          <w:i/>
          <w:iCs/>
          <w:sz w:val="18"/>
          <w:szCs w:val="18"/>
        </w:rPr>
      </w:pPr>
      <w:r>
        <w:rPr>
          <w:rStyle w:val="Znakiprzypiswdolnych"/>
        </w:rPr>
        <w:footnoteRef/>
      </w:r>
      <w:r>
        <w:rPr>
          <w:sz w:val="20"/>
          <w:szCs w:val="20"/>
        </w:rPr>
        <w:t xml:space="preserve"> </w:t>
      </w:r>
      <w:r>
        <w:rPr>
          <w:sz w:val="20"/>
          <w:szCs w:val="20"/>
        </w:rPr>
        <w:t xml:space="preserve">https://tranzycja.pl/media/docs/standardy/Ramowe-zalecenia-dotyczace-procesu-opieki-nad-zdrowiem-nastoletnich-osob-transplciowych-i-niebinarnych-2025.pdf </w:t>
      </w:r>
    </w:p>
  </w:footnote>
  <w:footnote w:id="9">
    <w:p>
      <w:pPr>
        <w:pStyle w:val="Normal"/>
        <w:rPr>
          <w:sz w:val="20"/>
          <w:szCs w:val="20"/>
        </w:rPr>
      </w:pPr>
      <w:r>
        <w:rPr>
          <w:rStyle w:val="Znakiprzypiswdolnych"/>
        </w:rPr>
        <w:footnoteRef/>
      </w:r>
      <w:r>
        <w:rPr>
          <w:sz w:val="20"/>
          <w:szCs w:val="20"/>
        </w:rPr>
        <w:t xml:space="preserve"> </w:t>
      </w:r>
      <w:r>
        <w:rPr>
          <w:sz w:val="20"/>
          <w:szCs w:val="20"/>
        </w:rPr>
        <w:t>https://tranzycja.pl/publikacje/zalecenia-dotyczace-opieki-afirmujacej-plec-dla-osob-niepelnoletnich-nasze-stanowisko/</w:t>
      </w:r>
    </w:p>
  </w:footnote>
  <w:footnote w:id="10">
    <w:p>
      <w:pPr>
        <w:pStyle w:val="Normal"/>
        <w:spacing w:lineRule="auto" w:line="360"/>
        <w:rPr>
          <w:sz w:val="20"/>
          <w:szCs w:val="20"/>
        </w:rPr>
      </w:pPr>
      <w:r>
        <w:rPr>
          <w:rStyle w:val="Znakiprzypiswdolnych"/>
        </w:rPr>
        <w:footnoteRef/>
      </w:r>
      <w:r>
        <w:rPr>
          <w:sz w:val="20"/>
          <w:szCs w:val="20"/>
        </w:rPr>
        <w:t xml:space="preserve"> </w:t>
      </w:r>
      <w:r>
        <w:rPr>
          <w:sz w:val="20"/>
          <w:szCs w:val="20"/>
        </w:rPr>
        <w:t>https://tranzycja.pl/media/docs/standardy/Ramowe-zalecenia-dotyczace-procesu-opieki-nad-zdrowiem-nastoletnich-osob-transplciowych-i-niebinarnych-2025.pdf</w:t>
      </w:r>
    </w:p>
  </w:footnote>
  <w:footnote w:id="11">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eastAsia="Helvetica Neue" w:cs="Helvetica Neue"/>
          <w:sz w:val="20"/>
          <w:szCs w:val="20"/>
        </w:rPr>
      </w:pPr>
      <w:r>
        <w:rPr>
          <w:rStyle w:val="Znakiprzypiswdolnych"/>
        </w:rPr>
        <w:footnoteRef/>
      </w:r>
      <w:r>
        <w:rPr>
          <w:sz w:val="20"/>
          <w:szCs w:val="20"/>
        </w:rPr>
        <w:t xml:space="preserve"> </w:t>
      </w:r>
      <w:r>
        <w:rPr>
          <w:sz w:val="20"/>
          <w:szCs w:val="20"/>
        </w:rPr>
        <w:t>https://publications.aap.org/pediatrics/article/146/4/e20193600/79683/Mental-Health-and-Timing-of-Gender-Affirming-Care?autologincheck=redirected</w:t>
      </w:r>
    </w:p>
  </w:footnote>
  <w:footnote w:id="12">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ascii="Helvetica Neue" w:hAnsi="Helvetica Neue" w:eastAsia="Helvetica Neue" w:cs="Helvetica Neue"/>
        </w:rPr>
      </w:pPr>
      <w:r>
        <w:rPr>
          <w:rStyle w:val="Znakiprzypiswdolnych"/>
        </w:rPr>
        <w:footnoteRef/>
      </w:r>
      <w:r>
        <w:rPr>
          <w:sz w:val="20"/>
          <w:szCs w:val="20"/>
        </w:rPr>
        <w:t xml:space="preserve"> </w:t>
      </w:r>
      <w:r>
        <w:rPr>
          <w:sz w:val="20"/>
          <w:szCs w:val="20"/>
        </w:rPr>
        <w:t>https://pubmed.ncbi.nlm.nih.gov/27707515/</w:t>
      </w:r>
    </w:p>
  </w:footnote>
  <w:footnote w:id="13">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eastAsia="Helvetica Neue" w:cs="Helvetica Neue"/>
          <w:sz w:val="20"/>
          <w:szCs w:val="20"/>
        </w:rPr>
      </w:pPr>
      <w:r>
        <w:rPr>
          <w:rStyle w:val="Znakiprzypiswdolnych"/>
        </w:rPr>
        <w:footnoteRef/>
      </w:r>
      <w:r>
        <w:rPr>
          <w:sz w:val="20"/>
          <w:szCs w:val="20"/>
        </w:rPr>
        <w:t xml:space="preserve"> </w:t>
      </w:r>
      <w:r>
        <w:rPr>
          <w:sz w:val="20"/>
          <w:szCs w:val="20"/>
        </w:rPr>
        <w:t>https://pubmed.ncbi.nlm.nih.gov/30241721/</w:t>
      </w:r>
    </w:p>
  </w:footnote>
  <w:footnote w:id="14">
    <w:p>
      <w:pPr>
        <w:pStyle w:val="Normal"/>
        <w:tabs>
          <w:tab w:val="clear" w:pos="720"/>
          <w:tab w:val="left" w:pos="708" w:leader="none"/>
          <w:tab w:val="left" w:pos="1416" w:leader="none"/>
          <w:tab w:val="left" w:pos="2124" w:leader="none"/>
          <w:tab w:val="left" w:pos="2832" w:leader="none"/>
          <w:tab w:val="left" w:pos="3540" w:leader="none"/>
          <w:tab w:val="left" w:pos="4248" w:leader="none"/>
          <w:tab w:val="left" w:pos="4956" w:leader="none"/>
          <w:tab w:val="left" w:pos="5664" w:leader="none"/>
          <w:tab w:val="left" w:pos="6372" w:leader="none"/>
          <w:tab w:val="left" w:pos="7080" w:leader="none"/>
          <w:tab w:val="left" w:pos="7788" w:leader="none"/>
          <w:tab w:val="left" w:pos="8496" w:leader="none"/>
          <w:tab w:val="left" w:pos="9204" w:leader="none"/>
        </w:tabs>
        <w:spacing w:lineRule="auto" w:line="360"/>
        <w:rPr>
          <w:rFonts w:eastAsia="Helvetica Neue" w:cs="Helvetica Neue"/>
          <w:sz w:val="20"/>
          <w:szCs w:val="20"/>
        </w:rPr>
      </w:pPr>
      <w:r>
        <w:rPr>
          <w:rStyle w:val="Znakiprzypiswdolnych"/>
        </w:rPr>
        <w:footnoteRef/>
      </w:r>
      <w:r>
        <w:rPr>
          <w:sz w:val="20"/>
          <w:szCs w:val="20"/>
          <w:lang w:val="en-US"/>
        </w:rPr>
        <w:t xml:space="preserve"> </w:t>
      </w:r>
      <w:r>
        <w:rPr>
          <w:i/>
          <w:sz w:val="20"/>
          <w:szCs w:val="20"/>
          <w:lang w:val="en-US"/>
        </w:rPr>
        <w:t>WPATH Standards of Care for the Health of Transgender and Gender Diverse People</w:t>
      </w:r>
      <w:r>
        <w:rPr>
          <w:sz w:val="20"/>
          <w:szCs w:val="20"/>
          <w:lang w:val="en-US"/>
        </w:rPr>
        <w:t xml:space="preserve">, </w:t>
      </w:r>
      <w:r>
        <w:rPr>
          <w:i/>
          <w:sz w:val="20"/>
          <w:szCs w:val="20"/>
          <w:lang w:val="en-US"/>
        </w:rPr>
        <w:t>Version 8</w:t>
      </w:r>
      <w:r>
        <w:rPr>
          <w:sz w:val="20"/>
          <w:szCs w:val="20"/>
          <w:lang w:val="en-US"/>
        </w:rPr>
        <w:t xml:space="preserve">; uwagi na temat osób małoletnich zaczynają się na stronie 43. </w:t>
      </w:r>
      <w:r>
        <w:rPr>
          <w:sz w:val="20"/>
          <w:szCs w:val="20"/>
        </w:rPr>
        <w:t>Tłumaczenie własne</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4">
    <w:lvl w:ilvl="0">
      <w:start w:val="1"/>
      <w:numFmt w:val="decimal"/>
      <w:lvlText w:val="%1."/>
      <w:lvlJc w:val="left"/>
      <w:pPr>
        <w:tabs>
          <w:tab w:val="num" w:pos="0"/>
        </w:tabs>
        <w:ind w:left="6029" w:hanging="360"/>
      </w:pPr>
      <w:rPr/>
    </w:lvl>
    <w:lvl w:ilvl="1">
      <w:start w:val="1"/>
      <w:numFmt w:val="lowerLetter"/>
      <w:lvlText w:val="%2."/>
      <w:lvlJc w:val="left"/>
      <w:pPr>
        <w:tabs>
          <w:tab w:val="num" w:pos="0"/>
        </w:tabs>
        <w:ind w:left="6749" w:hanging="360"/>
      </w:pPr>
      <w:rPr/>
    </w:lvl>
    <w:lvl w:ilvl="2">
      <w:start w:val="1"/>
      <w:numFmt w:val="lowerRoman"/>
      <w:lvlText w:val="%3."/>
      <w:lvlJc w:val="right"/>
      <w:pPr>
        <w:tabs>
          <w:tab w:val="num" w:pos="0"/>
        </w:tabs>
        <w:ind w:left="7469" w:hanging="180"/>
      </w:pPr>
      <w:rPr/>
    </w:lvl>
    <w:lvl w:ilvl="3">
      <w:start w:val="1"/>
      <w:numFmt w:val="decimal"/>
      <w:lvlText w:val="%4."/>
      <w:lvlJc w:val="left"/>
      <w:pPr>
        <w:tabs>
          <w:tab w:val="num" w:pos="0"/>
        </w:tabs>
        <w:ind w:left="8189" w:hanging="360"/>
      </w:pPr>
      <w:rPr/>
    </w:lvl>
    <w:lvl w:ilvl="4">
      <w:start w:val="1"/>
      <w:numFmt w:val="lowerLetter"/>
      <w:lvlText w:val="%5."/>
      <w:lvlJc w:val="left"/>
      <w:pPr>
        <w:tabs>
          <w:tab w:val="num" w:pos="0"/>
        </w:tabs>
        <w:ind w:left="8909" w:hanging="360"/>
      </w:pPr>
      <w:rPr/>
    </w:lvl>
    <w:lvl w:ilvl="5">
      <w:start w:val="1"/>
      <w:numFmt w:val="lowerRoman"/>
      <w:lvlText w:val="%6."/>
      <w:lvlJc w:val="right"/>
      <w:pPr>
        <w:tabs>
          <w:tab w:val="num" w:pos="0"/>
        </w:tabs>
        <w:ind w:left="9629" w:hanging="180"/>
      </w:pPr>
      <w:rPr/>
    </w:lvl>
    <w:lvl w:ilvl="6">
      <w:start w:val="1"/>
      <w:numFmt w:val="decimal"/>
      <w:lvlText w:val="%7."/>
      <w:lvlJc w:val="left"/>
      <w:pPr>
        <w:tabs>
          <w:tab w:val="num" w:pos="0"/>
        </w:tabs>
        <w:ind w:left="10349" w:hanging="360"/>
      </w:pPr>
      <w:rPr/>
    </w:lvl>
    <w:lvl w:ilvl="7">
      <w:start w:val="1"/>
      <w:numFmt w:val="lowerLetter"/>
      <w:lvlText w:val="%8."/>
      <w:lvlJc w:val="left"/>
      <w:pPr>
        <w:tabs>
          <w:tab w:val="num" w:pos="0"/>
        </w:tabs>
        <w:ind w:left="11069" w:hanging="360"/>
      </w:pPr>
      <w:rPr/>
    </w:lvl>
    <w:lvl w:ilvl="8">
      <w:start w:val="1"/>
      <w:numFmt w:val="lowerRoman"/>
      <w:lvlText w:val="%9."/>
      <w:lvlJc w:val="right"/>
      <w:pPr>
        <w:tabs>
          <w:tab w:val="num" w:pos="0"/>
        </w:tabs>
        <w:ind w:left="11789"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90"/>
  <w:defaultTabStop w:val="720"/>
  <w:autoHyphenation w:val="true"/>
  <w:hyphenationZone w:val="0"/>
  <w:footnotePr>
    <w:numFmt w:val="decimal"/>
    <w:footnote w:id="0"/>
    <w:footnote w:id="1"/>
  </w:footnotePr>
  <w:compat>
    <w:doNotBreakWrappedTables/>
    <w:compatSetting w:name="compatibilityMode" w:uri="http://schemas.microsoft.com/office/word" w:val="12"/>
    <w:compatSetting w:name="useWord2013TrackBottomHyphenation"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Helvetica" w:hAnsi="Helvetica" w:eastAsia="Arial" w:cs="Times New Roman"/>
        <w:sz w:val="24"/>
        <w:szCs w:val="24"/>
        <w:lang w:val="pl-PL" w:eastAsia="pl-PL"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76" w:before="0" w:after="0"/>
      <w:jc w:val="left"/>
    </w:pPr>
    <w:rPr>
      <w:rFonts w:ascii="Helvetica" w:hAnsi="Helvetica" w:eastAsia="Arial" w:cs="Times New Roman"/>
      <w:color w:val="auto"/>
      <w:kern w:val="0"/>
      <w:sz w:val="24"/>
      <w:szCs w:val="24"/>
      <w:lang w:val="pl-PL" w:eastAsia="pl-PL" w:bidi="ar-SA"/>
    </w:rPr>
  </w:style>
  <w:style w:type="paragraph" w:styleId="Heading1">
    <w:name w:val="heading 1"/>
    <w:basedOn w:val="Normal"/>
    <w:next w:val="Normal"/>
    <w:uiPriority w:val="9"/>
    <w:qFormat/>
    <w:pPr>
      <w:keepNext w:val="true"/>
      <w:keepLines/>
      <w:spacing w:before="400" w:after="120"/>
      <w:outlineLvl w:val="0"/>
    </w:pPr>
    <w:rPr>
      <w:sz w:val="40"/>
      <w:szCs w:val="40"/>
    </w:rPr>
  </w:style>
  <w:style w:type="paragraph" w:styleId="Heading2">
    <w:name w:val="heading 2"/>
    <w:basedOn w:val="Normal"/>
    <w:next w:val="Normal"/>
    <w:uiPriority w:val="9"/>
    <w:semiHidden/>
    <w:unhideWhenUsed/>
    <w:qFormat/>
    <w:pPr>
      <w:keepNext w:val="true"/>
      <w:keepLines/>
      <w:spacing w:before="360" w:after="120"/>
      <w:outlineLvl w:val="1"/>
    </w:pPr>
    <w:rPr>
      <w:sz w:val="32"/>
      <w:szCs w:val="32"/>
    </w:rPr>
  </w:style>
  <w:style w:type="paragraph" w:styleId="Heading3">
    <w:name w:val="heading 3"/>
    <w:basedOn w:val="Normal"/>
    <w:next w:val="Normal"/>
    <w:uiPriority w:val="9"/>
    <w:semiHidden/>
    <w:unhideWhenUsed/>
    <w:qFormat/>
    <w:pPr>
      <w:keepNext w:val="true"/>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val="true"/>
      <w:keepLines/>
      <w:spacing w:before="280" w:after="80"/>
      <w:outlineLvl w:val="3"/>
    </w:pPr>
    <w:rPr>
      <w:color w:val="666666"/>
    </w:rPr>
  </w:style>
  <w:style w:type="paragraph" w:styleId="Heading5">
    <w:name w:val="heading 5"/>
    <w:basedOn w:val="Normal"/>
    <w:next w:val="Normal"/>
    <w:uiPriority w:val="9"/>
    <w:semiHidden/>
    <w:unhideWhenUsed/>
    <w:qFormat/>
    <w:pPr>
      <w:keepNext w:val="true"/>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val="true"/>
      <w:keepLines/>
      <w:spacing w:before="240" w:after="80"/>
      <w:outlineLvl w:val="5"/>
    </w:pPr>
    <w:rPr>
      <w:i/>
      <w:color w:val="666666"/>
      <w:sz w:val="22"/>
      <w:szCs w:val="22"/>
    </w:rPr>
  </w:style>
  <w:style w:type="character" w:styleId="DefaultParagraphFont" w:default="1">
    <w:name w:val="Default Paragraph Font"/>
    <w:uiPriority w:val="1"/>
    <w:semiHidden/>
    <w:unhideWhenUsed/>
    <w:qFormat/>
    <w:rPr/>
  </w:style>
  <w:style w:type="character" w:styleId="TekstkomentarzaZnak" w:customStyle="1">
    <w:name w:val="Tekst komentarza Znak"/>
    <w:basedOn w:val="DefaultParagraphFont"/>
    <w:link w:val="CommentText"/>
    <w:uiPriority w:val="99"/>
    <w:qFormat/>
    <w:rPr>
      <w:sz w:val="20"/>
      <w:szCs w:val="20"/>
    </w:rPr>
  </w:style>
  <w:style w:type="character" w:styleId="CommentReference">
    <w:name w:val="annotation reference"/>
    <w:basedOn w:val="DefaultParagraphFont"/>
    <w:uiPriority w:val="99"/>
    <w:semiHidden/>
    <w:unhideWhenUsed/>
    <w:qFormat/>
    <w:rPr>
      <w:sz w:val="16"/>
      <w:szCs w:val="16"/>
    </w:rPr>
  </w:style>
  <w:style w:type="character" w:styleId="TekstprzypisudolnegoZnak" w:customStyle="1">
    <w:name w:val="Tekst przypisu dolnego Znak"/>
    <w:basedOn w:val="DefaultParagraphFont"/>
    <w:uiPriority w:val="99"/>
    <w:qFormat/>
    <w:rsid w:val="00972e2d"/>
    <w:rPr>
      <w:sz w:val="20"/>
      <w:szCs w:val="20"/>
    </w:rPr>
  </w:style>
  <w:style w:type="character" w:styleId="Znakiprzypiswdolnych" w:customStyle="1">
    <w:name w:val="Znaki przypisów dolnych"/>
    <w:uiPriority w:val="99"/>
    <w:semiHidden/>
    <w:unhideWhenUsed/>
    <w:qFormat/>
    <w:rsid w:val="00972e2d"/>
    <w:rPr>
      <w:vertAlign w:val="superscript"/>
    </w:rPr>
  </w:style>
  <w:style w:type="character" w:styleId="Znakiprzypiswdolnychuser" w:customStyle="1">
    <w:name w:val="Znaki przypisów dolnych (user)"/>
    <w:qFormat/>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b3687e"/>
    <w:rPr>
      <w:color w:themeColor="hyperlink" w:val="0000FF"/>
      <w:u w:val="single"/>
    </w:rPr>
  </w:style>
  <w:style w:type="character" w:styleId="UnresolvedMention">
    <w:name w:val="Unresolved Mention"/>
    <w:basedOn w:val="DefaultParagraphFont"/>
    <w:uiPriority w:val="99"/>
    <w:semiHidden/>
    <w:unhideWhenUsed/>
    <w:qFormat/>
    <w:rsid w:val="00b3687e"/>
    <w:rPr>
      <w:color w:val="605E5C"/>
      <w:shd w:fill="E1DFDD" w:val="clear"/>
    </w:rPr>
  </w:style>
  <w:style w:type="character" w:styleId="Znakiprzypiswkocowychuser" w:customStyle="1">
    <w:name w:val="Znaki przypisów końcowych (user)"/>
    <w:qFormat/>
    <w:rPr>
      <w:vertAlign w:val="superscript"/>
    </w:rPr>
  </w:style>
  <w:style w:type="character" w:styleId="Znakiprzypiswkocowych" w:customStyle="1">
    <w:name w:val="Znaki przypisów końcowych"/>
    <w:qFormat/>
    <w:rPr>
      <w:vertAlign w:val="superscript"/>
    </w:rPr>
  </w:style>
  <w:style w:type="character" w:styleId="EndnoteReference">
    <w:name w:val="endnote reference"/>
    <w:rPr>
      <w:vertAlign w:val="superscript"/>
    </w:rPr>
  </w:style>
  <w:style w:type="character" w:styleId="LineNumber">
    <w:name w:val="line number"/>
    <w:rPr/>
  </w:style>
  <w:style w:type="paragraph" w:styleId="Nagwek" w:customStyle="1">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rPr>
  </w:style>
  <w:style w:type="paragraph" w:styleId="Indeks" w:customStyle="1">
    <w:name w:val="Indeks"/>
    <w:basedOn w:val="Normal"/>
    <w:qFormat/>
    <w:pPr>
      <w:suppressLineNumbers/>
    </w:pPr>
    <w:rPr>
      <w:rFonts w:cs="Lucida Sans"/>
    </w:rPr>
  </w:style>
  <w:style w:type="paragraph" w:styleId="Gwkaistopka" w:customStyle="1">
    <w:name w:val="Główka i stopka"/>
    <w:basedOn w:val="Normal"/>
    <w:qFormat/>
    <w:pPr/>
    <w:rPr/>
  </w:style>
  <w:style w:type="paragraph" w:styleId="Header">
    <w:name w:val="head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customStyle="1">
    <w:name w:val="Indeks (user)"/>
    <w:basedOn w:val="Normal"/>
    <w:qFormat/>
    <w:pPr>
      <w:suppressLineNumbers/>
    </w:pPr>
    <w:rPr>
      <w:rFonts w:cs="Lucida Sans"/>
    </w:rPr>
  </w:style>
  <w:style w:type="paragraph" w:styleId="Title">
    <w:name w:val="Title"/>
    <w:basedOn w:val="Normal"/>
    <w:next w:val="Normal"/>
    <w:uiPriority w:val="10"/>
    <w:qFormat/>
    <w:pPr>
      <w:keepNext w:val="true"/>
      <w:keepLines/>
      <w:spacing w:before="0" w:after="60"/>
    </w:pPr>
    <w:rPr>
      <w:sz w:val="52"/>
      <w:szCs w:val="52"/>
    </w:rPr>
  </w:style>
  <w:style w:type="paragraph" w:styleId="Subtitle">
    <w:name w:val="Subtitle"/>
    <w:basedOn w:val="Normal"/>
    <w:next w:val="Normal"/>
    <w:uiPriority w:val="11"/>
    <w:qFormat/>
    <w:pPr>
      <w:keepNext w:val="true"/>
      <w:keepLines/>
      <w:spacing w:before="0" w:after="320"/>
    </w:pPr>
    <w:rPr>
      <w:rFonts w:ascii="Arial" w:hAnsi="Arial" w:cs="Arial"/>
      <w:color w:val="666666"/>
      <w:sz w:val="30"/>
      <w:szCs w:val="30"/>
    </w:rPr>
  </w:style>
  <w:style w:type="paragraph" w:styleId="CommentText">
    <w:name w:val="annotation text"/>
    <w:basedOn w:val="Normal"/>
    <w:link w:val="TekstkomentarzaZnak"/>
    <w:uiPriority w:val="99"/>
    <w:unhideWhenUsed/>
    <w:pPr>
      <w:spacing w:lineRule="auto" w:line="240"/>
    </w:pPr>
    <w:rPr>
      <w:sz w:val="20"/>
      <w:szCs w:val="20"/>
    </w:rPr>
  </w:style>
  <w:style w:type="paragraph" w:styleId="FootnoteText">
    <w:name w:val="footnote text"/>
    <w:basedOn w:val="Normal"/>
    <w:link w:val="TekstprzypisudolnegoZnak"/>
    <w:uiPriority w:val="99"/>
    <w:unhideWhenUsed/>
    <w:rsid w:val="00972e2d"/>
    <w:pPr>
      <w:spacing w:lineRule="auto" w:line="240"/>
    </w:pPr>
    <w:rPr>
      <w:sz w:val="20"/>
      <w:szCs w:val="20"/>
    </w:rPr>
  </w:style>
  <w:style w:type="paragraph" w:styleId="ListParagraph">
    <w:name w:val="List Paragraph"/>
    <w:basedOn w:val="Normal"/>
    <w:uiPriority w:val="34"/>
    <w:qFormat/>
    <w:rsid w:val="004f2a27"/>
    <w:pPr>
      <w:spacing w:before="0" w:after="0"/>
      <w:ind w:left="720"/>
      <w:contextualSpacing/>
    </w:pPr>
    <w:rPr/>
  </w:style>
  <w:style w:type="paragraph" w:styleId="Gwkaistopkauser" w:customStyle="1">
    <w:name w:val="Główka i stopka (user)"/>
    <w:basedOn w:val="Normal"/>
    <w:qFormat/>
    <w:pPr/>
    <w:rPr/>
  </w:style>
  <w:style w:type="paragraph" w:styleId="Footer">
    <w:name w:val="footer"/>
    <w:basedOn w:val="Gwkaistopka"/>
    <w:pPr/>
    <w:rPr/>
  </w:style>
  <w:style w:type="paragraph" w:styleId="Komentarz" w:customStyle="1">
    <w:name w:val="Komentarz"/>
    <w:basedOn w:val="Normal"/>
    <w:qFormat/>
    <w:pPr>
      <w:spacing w:lineRule="auto" w:line="240" w:before="56" w:after="0"/>
      <w:ind w:left="57" w:right="57"/>
    </w:pPr>
    <w:rPr>
      <w:sz w:val="20"/>
      <w:szCs w:val="20"/>
    </w:rPr>
  </w:style>
  <w:style w:type="paragraph" w:styleId="Komentarzuser" w:customStyle="1">
    <w:name w:val="Komentarz (user)"/>
    <w:basedOn w:val="Normal"/>
    <w:qFormat/>
    <w:pPr>
      <w:spacing w:lineRule="auto" w:line="240" w:before="56" w:after="0"/>
      <w:ind w:left="57" w:right="57"/>
    </w:pPr>
    <w:rPr>
      <w:sz w:val="20"/>
      <w:szCs w:val="20"/>
    </w:rPr>
  </w:style>
  <w:style w:type="paragraph" w:styleId="Revision">
    <w:name w:val="Revision"/>
    <w:uiPriority w:val="99"/>
    <w:semiHidden/>
    <w:qFormat/>
    <w:rsid w:val="00eb28e9"/>
    <w:pPr>
      <w:widowControl/>
      <w:suppressAutoHyphens w:val="false"/>
      <w:bidi w:val="0"/>
      <w:spacing w:before="0" w:after="0"/>
      <w:jc w:val="left"/>
    </w:pPr>
    <w:rPr>
      <w:rFonts w:ascii="Helvetica" w:hAnsi="Helvetica" w:eastAsia="Arial" w:cs="Times New Roman"/>
      <w:color w:val="auto"/>
      <w:kern w:val="0"/>
      <w:sz w:val="24"/>
      <w:szCs w:val="24"/>
      <w:lang w:val="pl-PL" w:eastAsia="pl-PL" w:bidi="ar-SA"/>
    </w:rPr>
  </w:style>
  <w:style w:type="numbering" w:styleId="Bezlisty" w:customStyle="1">
    <w:name w:val="Bez listy"/>
    <w:uiPriority w:val="99"/>
    <w:semiHidden/>
    <w:unhideWhenUsed/>
    <w:qFormat/>
  </w:style>
  <w:style w:type="table" w:default="1" w:styleId="Standardowy">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customStyle="1" w:styleId="TableNormal0">
    <w:name w:val="Table Normal"/>
    <w:tblPr>
      <w:tblCellMar>
        <w:top w:w="0" w:type="dxa"/>
        <w:left w:w="0" w:type="dxa"/>
        <w:bottom w:w="0" w:type="dxa"/>
        <w:right w:w="0" w:type="dxa"/>
      </w:tblCellMar>
    </w:tblPr>
  </w:style>
</w:styles>
</file>

<file path=word/_rels/comments.xml.rels><?xml version="1.0" encoding="UTF-8"?>
<Relationships xmlns="http://schemas.openxmlformats.org/package/2006/relationships"><Relationship Id="rId1" Type="http://schemas.openxmlformats.org/officeDocument/2006/relationships/hyperlink" Target="https://oplaty.ms.gov.pl/znaki-oplaty-sadowej/zakup" TargetMode="External"/>
</Relationship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notes" Target="footnotes.xml"/><Relationship Id="rId6" Type="http://schemas.openxmlformats.org/officeDocument/2006/relationships/comments" Target="comment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Relationship Id="rId12" Type="http://schemas.openxmlformats.org/officeDocument/2006/relationships/customXml" Target="../customXml/item2.xml"/><Relationship Id="rId13" Type="http://schemas.openxmlformats.org/officeDocument/2006/relationships/customXml" Target="../customXml/item3.xml"/><Relationship Id="rId14" Type="http://schemas.openxmlformats.org/officeDocument/2006/relationships/customXml" Target="../customXml/item4.xml"/><Relationship Id="rId15" Type="http://schemas.openxmlformats.org/officeDocument/2006/relationships/customXml" Target="../customXml/item5.xml"/>
</Relationships>
</file>

<file path=word/_rels/footnotes.xml.rels><?xml version="1.0" encoding="UTF-8"?>
<Relationships xmlns="http://schemas.openxmlformats.org/package/2006/relationships"><Relationship Id="rId1" Type="http://schemas.openxmlformats.org/officeDocument/2006/relationships/hyperlink" Target="https://arch-bip.ms.gov.pl/pl/prawa-czlowieka/inne-organizacje-miedzynarodowe-i-prawa-czlowieka/prawa-czlowieka-w-radzie-europy-/download,2254,3.html"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44916e-9416-4f44-a3d2-688cfc9b5679">
      <Terms xmlns="http://schemas.microsoft.com/office/infopath/2007/PartnerControls"/>
    </lcf76f155ced4ddcb4097134ff3c332f>
    <TaxCatchAll xmlns="32c9bab5-7aed-4e4f-b962-d6b3f02df52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go:gDocsCustomXmlDataStorage xmlns:go="http://customooxmlschemas.google.com/" xmlns:r="http://schemas.openxmlformats.org/officeDocument/2006/relationships" uri="GoogleDocsCustomDataVersion2">
  <go:docsCustomData roundtripDataSignature="AMtx7miE5D/lmDrMYPWiIImrdePsETF4Yw==">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</go:docsCustomData>
</go:gDocsCustomXmlDataStorage>
</file>

<file path=customXml/item5.xml><?xml version="1.0" encoding="utf-8"?>
<ct:contentTypeSchema xmlns:ct="http://schemas.microsoft.com/office/2006/metadata/contentType" xmlns:ma="http://schemas.microsoft.com/office/2006/metadata/properties/metaAttributes" ct:_="" ma:_="" ma:contentTypeName="Dokument" ma:contentTypeID="0x010100B606CBF8670C5E418E7715F4863AFA0C" ma:contentTypeVersion="11" ma:contentTypeDescription="Utwórz nowy dokument." ma:contentTypeScope="" ma:versionID="930e9c284bf87b84130923e37273b068">
  <xsd:schema xmlns:xsd="http://www.w3.org/2001/XMLSchema" xmlns:xs="http://www.w3.org/2001/XMLSchema" xmlns:p="http://schemas.microsoft.com/office/2006/metadata/properties" xmlns:ns2="dd44916e-9416-4f44-a3d2-688cfc9b5679" xmlns:ns3="32c9bab5-7aed-4e4f-b962-d6b3f02df521" targetNamespace="http://schemas.microsoft.com/office/2006/metadata/properties" ma:root="true" ma:fieldsID="733b909d36b41fa07fc9b50950ad35d9" ns2:_="" ns3:_="">
    <xsd:import namespace="dd44916e-9416-4f44-a3d2-688cfc9b5679"/>
    <xsd:import namespace="32c9bab5-7aed-4e4f-b962-d6b3f02df5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4916e-9416-4f44-a3d2-688cfc9b5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f245945-9b23-4291-b147-3aa1cff7e76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c9bab5-7aed-4e4f-b962-d6b3f02df5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d7dc5d-9a11-4a5b-aff4-83ad2516ca96}" ma:internalName="TaxCatchAll" ma:showField="CatchAllData" ma:web="32c9bab5-7aed-4e4f-b962-d6b3f02df5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23D743-1BAB-4A41-8736-09F2A9609F1E}">
  <ds:schemaRefs>
    <ds:schemaRef ds:uri="http://schemas.microsoft.com/sharepoint/v3/contenttype/forms"/>
  </ds:schemaRefs>
</ds:datastoreItem>
</file>

<file path=customXml/itemProps2.xml><?xml version="1.0" encoding="utf-8"?>
<ds:datastoreItem xmlns:ds="http://schemas.openxmlformats.org/officeDocument/2006/customXml" ds:itemID="{9BCFA0F9-67CC-4CC1-8AC8-035BF29F3B1B}">
  <ds:schemaRefs>
    <ds:schemaRef ds:uri="http://schemas.microsoft.com/office/2006/metadata/properties"/>
    <ds:schemaRef ds:uri="http://schemas.microsoft.com/office/infopath/2007/PartnerControls"/>
    <ds:schemaRef ds:uri="a28163b6-f298-4e27-bb04-edb1aff78fa8"/>
    <ds:schemaRef ds:uri="21340a01-4165-4f77-937d-131b935dc65f"/>
  </ds:schemaRefs>
</ds:datastoreItem>
</file>

<file path=customXml/itemProps3.xml><?xml version="1.0" encoding="utf-8"?>
<ds:datastoreItem xmlns:ds="http://schemas.openxmlformats.org/officeDocument/2006/customXml" ds:itemID="{B931A47C-4361-2944-BEA3-AF024B241EA2}">
  <ds:schemaRefs>
    <ds:schemaRef ds:uri="http://schemas.openxmlformats.org/officeDocument/2006/bibliography"/>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2E2ED5C9-D7B0-4A5F-A6D9-D82C89C8835D}"/>
</file>

<file path=docProps/app.xml><?xml version="1.0" encoding="utf-8"?>
<Properties xmlns="http://schemas.openxmlformats.org/officeDocument/2006/extended-properties" xmlns:vt="http://schemas.openxmlformats.org/officeDocument/2006/docPropsVTypes">
  <Template>Normal.dotm</Template>
  <TotalTime>1</TotalTime>
  <Application>LibreOffice/26.2.1.2$Windows_X86_64 LibreOffice_project/620$Build-2</Application>
  <AppVersion>15.0000</AppVersion>
  <Pages>20</Pages>
  <Words>5189</Words>
  <Characters>34942</Characters>
  <CharactersWithSpaces>40137</CharactersWithSpaces>
  <Paragraphs>124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2026-03-04T18:49:00Z</dcterms:created>
  <dc:creator/>
  <dc:description/>
  <dc:language>pl-PL</dc:language>
  <cp:lastModifiedBy>Karolina Gierdal</cp:lastModifiedBy>
  <dcterms:modified xsi:type="dcterms:W3CDTF">2026-08-15T02:30:02Z</dcterms:modified>
  <cp:revision>85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0x010100B606CBF8670C5E418E7715F4863AFA0C</vt:lpwstr>
  </property>
  <property fmtid="{D5CDD505-2E9C-101B-9397-08002B2CF9AE}" pid="3" name="MediaServiceImageTags">
    <vt:lpwstr/>
  </property>
</Properties>
</file>