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comments.xml" ContentType="application/vnd.openxmlformats-officedocument.wordprocessingml.comment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1"/>
        <w:jc w:val="right"/>
        <w:rPr>
          <w:rFonts w:ascii="Times New Roman" w:hAnsi="Times New Roman" w:eastAsia="Times New Roman" w:cs="Times New Roman"/>
        </w:rPr>
      </w:pPr>
      <w:r>
        <w:rPr>
          <w:rFonts w:eastAsia="Times New Roman" w:cs="Times New Roman" w:ascii="Times New Roman" w:hAnsi="Times New Roman"/>
        </w:rPr>
      </w:r>
    </w:p>
    <w:p>
      <w:pPr>
        <w:pStyle w:val="normal1"/>
        <w:jc w:val="right"/>
        <w:rPr>
          <w:rFonts w:ascii="Times New Roman" w:hAnsi="Times New Roman" w:eastAsia="Times New Roman" w:cs="Times New Roman"/>
        </w:rPr>
      </w:pPr>
      <w:commentRangeStart w:id="0"/>
      <w:sdt>
        <w:sdtPr>
          <w:tag w:val="goog_rdk_0"/>
        </w:sdtPr>
        <w:sdtContent>
          <w:r>
            <w:rPr/>
          </w:r>
          <w:r>
            <w:rPr/>
          </w:r>
        </w:sdtContent>
      </w:sdt>
      <w:r>
        <w:rPr>
          <w:rFonts w:eastAsia="Times New Roman" w:cs="Times New Roman" w:ascii="Times New Roman" w:hAnsi="Times New Roman"/>
        </w:rPr>
        <w:t>[miejscowość]</w:t>
      </w:r>
      <w:r>
        <w:rPr>
          <w:rFonts w:eastAsia="Times New Roman" w:cs="Times New Roman" w:ascii="Times New Roman" w:hAnsi="Times New Roman"/>
        </w:rPr>
      </w:r>
      <w:commentRangeEnd w:id="0"/>
      <w:r>
        <w:commentReference w:id="0"/>
      </w:r>
      <w:r>
        <w:rPr>
          <w:rFonts w:eastAsia="Times New Roman" w:cs="Times New Roman" w:ascii="Times New Roman" w:hAnsi="Times New Roman"/>
        </w:rPr>
        <w:t xml:space="preserve">, </w:t>
      </w:r>
      <w:commentRangeStart w:id="1"/>
      <w:sdt>
        <w:sdtPr>
          <w:tag w:val="goog_rdk_1"/>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[data]</w:t>
      </w:r>
      <w:commentRangeEnd w:id="1"/>
      <w:r>
        <w:commentReference w:id="1"/>
      </w:r>
      <w:r>
        <w:rPr>
          <w:rFonts w:eastAsia="Times New Roman" w:cs="Times New Roman" w:ascii="Times New Roman" w:hAnsi="Times New Roman"/>
        </w:rPr>
      </w:r>
    </w:p>
    <w:p>
      <w:pPr>
        <w:pStyle w:val="normal1"/>
        <w:jc w:val="right"/>
        <w:rPr>
          <w:rFonts w:ascii="Times New Roman" w:hAnsi="Times New Roman" w:eastAsia="Times New Roman" w:cs="Times New Roman"/>
        </w:rPr>
      </w:pPr>
      <w:r>
        <w:rPr>
          <w:rFonts w:eastAsia="Times New Roman" w:cs="Times New Roman" w:ascii="Times New Roman" w:hAnsi="Times New Roman"/>
        </w:rPr>
      </w:r>
    </w:p>
    <w:p>
      <w:pPr>
        <w:pStyle w:val="normal1"/>
        <w:jc w:val="right"/>
        <w:rPr>
          <w:rFonts w:ascii="Times New Roman" w:hAnsi="Times New Roman" w:eastAsia="Times New Roman" w:cs="Times New Roman"/>
        </w:rPr>
      </w:pPr>
      <w:r>
        <w:rPr>
          <w:rFonts w:eastAsia="Times New Roman" w:cs="Times New Roman" w:ascii="Times New Roman" w:hAnsi="Times New Roman"/>
        </w:rPr>
      </w:r>
    </w:p>
    <w:p>
      <w:pPr>
        <w:pStyle w:val="normal1"/>
        <w:ind w:hanging="0" w:left="5669"/>
        <w:jc w:val="left"/>
        <w:rPr>
          <w:rFonts w:ascii="Times New Roman" w:hAnsi="Times New Roman" w:eastAsia="Times New Roman" w:cs="Times New Roman"/>
        </w:rPr>
      </w:pPr>
      <w:commentRangeStart w:id="2"/>
      <w:sdt>
        <w:sdtPr>
          <w:tag w:val="goog_rdk_2"/>
        </w:sdtPr>
        <w:sdtContent>
          <w:r>
            <w:rPr/>
          </w:r>
          <w:r>
            <w:rPr/>
          </w:r>
        </w:sdtContent>
      </w:sdt>
      <w:r>
        <w:rPr>
          <w:rFonts w:eastAsia="Times New Roman" w:cs="Times New Roman" w:ascii="Times New Roman" w:hAnsi="Times New Roman"/>
        </w:rPr>
        <w:t>Sąd Rejonowy w…</w:t>
      </w:r>
      <w:commentRangeEnd w:id="2"/>
      <w:r>
        <w:commentReference w:id="2"/>
      </w:r>
      <w:r>
        <w:rPr>
          <w:rFonts w:eastAsia="Times New Roman" w:cs="Times New Roman" w:ascii="Times New Roman" w:hAnsi="Times New Roman"/>
        </w:rPr>
      </w:r>
    </w:p>
    <w:p>
      <w:pPr>
        <w:pStyle w:val="normal1"/>
        <w:ind w:hanging="0" w:left="5669"/>
        <w:jc w:val="left"/>
        <w:rPr>
          <w:rFonts w:ascii="Times New Roman" w:hAnsi="Times New Roman" w:eastAsia="Times New Roman" w:cs="Times New Roman"/>
        </w:rPr>
      </w:pPr>
      <w:commentRangeStart w:id="3"/>
      <w:sdt>
        <w:sdtPr>
          <w:tag w:val="goog_rdk_3"/>
        </w:sdtPr>
        <w:sdtContent>
          <w:r>
            <w:rPr/>
          </w:r>
          <w:r>
            <w:rPr/>
          </w:r>
        </w:sdtContent>
      </w:sdt>
      <w:r>
        <w:rPr>
          <w:rFonts w:eastAsia="Times New Roman" w:cs="Times New Roman" w:ascii="Times New Roman" w:hAnsi="Times New Roman"/>
        </w:rPr>
        <w:t>Wydział Cywilny</w:t>
      </w:r>
      <w:r>
        <w:rPr>
          <w:rFonts w:eastAsia="Times New Roman" w:cs="Times New Roman" w:ascii="Times New Roman" w:hAnsi="Times New Roman"/>
        </w:rPr>
        <w:t xml:space="preserve"> </w:t>
      </w:r>
      <w:commentRangeEnd w:id="3"/>
      <w:r>
        <w:commentReference w:id="3"/>
      </w:r>
      <w:r>
        <w:rPr>
          <w:rFonts w:eastAsia="Times New Roman" w:cs="Times New Roman" w:ascii="Times New Roman" w:hAnsi="Times New Roman"/>
        </w:rPr>
      </w:r>
    </w:p>
    <w:p>
      <w:pPr>
        <w:pStyle w:val="normal1"/>
        <w:ind w:hanging="0" w:left="5669"/>
        <w:jc w:val="left"/>
        <w:rPr>
          <w:rFonts w:ascii="Times New Roman" w:hAnsi="Times New Roman" w:eastAsia="Times New Roman" w:cs="Times New Roman"/>
        </w:rPr>
      </w:pPr>
      <w:r>
        <w:rPr>
          <w:rFonts w:eastAsia="Times New Roman" w:cs="Times New Roman" w:ascii="Times New Roman" w:hAnsi="Times New Roman"/>
        </w:rPr>
        <w:t>[adres]</w:t>
      </w:r>
    </w:p>
    <w:p>
      <w:pPr>
        <w:pStyle w:val="normal1"/>
        <w:ind w:hanging="0" w:left="5669"/>
        <w:jc w:val="left"/>
        <w:rPr>
          <w:rFonts w:ascii="Times New Roman" w:hAnsi="Times New Roman" w:eastAsia="Times New Roman" w:cs="Times New Roman"/>
        </w:rPr>
      </w:pPr>
      <w:r>
        <w:rPr>
          <w:rFonts w:eastAsia="Times New Roman" w:cs="Times New Roman" w:ascii="Times New Roman" w:hAnsi="Times New Roman"/>
        </w:rPr>
      </w:r>
    </w:p>
    <w:p>
      <w:pPr>
        <w:pStyle w:val="normal1"/>
        <w:ind w:hanging="0" w:left="5669"/>
        <w:jc w:val="left"/>
        <w:rPr>
          <w:rFonts w:ascii="Times New Roman" w:hAnsi="Times New Roman" w:eastAsia="Times New Roman" w:cs="Times New Roman"/>
          <w:b/>
        </w:rPr>
      </w:pPr>
      <w:r>
        <w:rPr>
          <w:rFonts w:eastAsia="Times New Roman" w:cs="Times New Roman" w:ascii="Times New Roman" w:hAnsi="Times New Roman"/>
          <w:b/>
        </w:rPr>
        <w:t>Wnioskodawczyni</w:t>
      </w:r>
      <w:commentRangeStart w:id="4"/>
      <w:sdt>
        <w:sdtPr>
          <w:tag w:val="goog_rdk_4"/>
        </w:sdtPr>
        <w:sdtContent>
          <w:r>
            <w:rPr>
              <w:rFonts w:eastAsia="Times New Roman" w:cs="Times New Roman" w:ascii="Times New Roman" w:hAnsi="Times New Roman"/>
              <w:b/>
            </w:rPr>
          </w:r>
          <w:r>
            <w:rPr>
              <w:rFonts w:eastAsia="Times New Roman" w:cs="Times New Roman" w:ascii="Times New Roman" w:hAnsi="Times New Roman"/>
              <w:b/>
            </w:rPr>
          </w:r>
        </w:sdtContent>
      </w:sdt>
      <w:r>
        <w:rPr>
          <w:rFonts w:eastAsia="Times New Roman" w:cs="Times New Roman" w:ascii="Times New Roman" w:hAnsi="Times New Roman"/>
          <w:b/>
        </w:rPr>
        <w:t>:</w:t>
      </w:r>
      <w:commentRangeEnd w:id="4"/>
      <w:r>
        <w:commentReference w:id="4"/>
      </w:r>
      <w:r>
        <w:rPr>
          <w:rFonts w:eastAsia="Times New Roman" w:cs="Times New Roman" w:ascii="Times New Roman" w:hAnsi="Times New Roman"/>
          <w:b/>
        </w:rPr>
      </w:r>
    </w:p>
    <w:p>
      <w:pPr>
        <w:pStyle w:val="normal1"/>
        <w:ind w:hanging="0" w:left="5669"/>
        <w:jc w:val="left"/>
        <w:rPr>
          <w:rFonts w:ascii="Times New Roman" w:hAnsi="Times New Roman" w:eastAsia="Times New Roman" w:cs="Times New Roman"/>
        </w:rPr>
      </w:pPr>
      <w:commentRangeStart w:id="5"/>
      <w:sdt>
        <w:sdtPr>
          <w:tag w:val="goog_rdk_5"/>
        </w:sdtPr>
        <w:sdtContent>
          <w:r>
            <w:rPr/>
          </w:r>
          <w:r>
            <w:rPr/>
          </w:r>
        </w:sdtContent>
      </w:sdt>
      <w:r>
        <w:rPr>
          <w:rFonts w:eastAsia="Times New Roman" w:cs="Times New Roman" w:ascii="Times New Roman" w:hAnsi="Times New Roman"/>
        </w:rPr>
        <w:t>[imię i nazwisko]</w:t>
      </w:r>
      <w:commentRangeEnd w:id="5"/>
      <w:r>
        <w:commentReference w:id="5"/>
      </w:r>
      <w:r>
        <w:rPr>
          <w:rFonts w:eastAsia="Times New Roman" w:cs="Times New Roman" w:ascii="Times New Roman" w:hAnsi="Times New Roman"/>
        </w:rPr>
      </w:r>
    </w:p>
    <w:p>
      <w:pPr>
        <w:pStyle w:val="normal1"/>
        <w:ind w:hanging="0" w:left="5669"/>
        <w:jc w:val="left"/>
        <w:rPr>
          <w:rFonts w:ascii="Times New Roman" w:hAnsi="Times New Roman" w:eastAsia="Times New Roman" w:cs="Times New Roman"/>
        </w:rPr>
      </w:pPr>
      <w:commentRangeStart w:id="6"/>
      <w:sdt>
        <w:sdtPr>
          <w:tag w:val="goog_rdk_6"/>
        </w:sdtPr>
        <w:sdtContent>
          <w:r>
            <w:rPr/>
          </w:r>
          <w:r>
            <w:rPr/>
          </w:r>
        </w:sdtContent>
      </w:sdt>
      <w:r>
        <w:rPr>
          <w:rFonts w:eastAsia="Times New Roman" w:cs="Times New Roman" w:ascii="Times New Roman" w:hAnsi="Times New Roman"/>
        </w:rPr>
        <w:t>[adres]</w:t>
      </w:r>
      <w:commentRangeEnd w:id="6"/>
      <w:r>
        <w:commentReference w:id="6"/>
      </w:r>
      <w:r>
        <w:rPr>
          <w:rFonts w:eastAsia="Times New Roman" w:cs="Times New Roman" w:ascii="Times New Roman" w:hAnsi="Times New Roman"/>
        </w:rPr>
      </w:r>
    </w:p>
    <w:p>
      <w:pPr>
        <w:pStyle w:val="normal1"/>
        <w:ind w:hanging="0" w:left="5669"/>
        <w:jc w:val="left"/>
        <w:rPr>
          <w:rFonts w:ascii="Times New Roman" w:hAnsi="Times New Roman" w:eastAsia="Times New Roman" w:cs="Times New Roman"/>
        </w:rPr>
      </w:pPr>
      <w:r>
        <w:rPr>
          <w:rFonts w:eastAsia="Times New Roman" w:cs="Times New Roman" w:ascii="Times New Roman" w:hAnsi="Times New Roman"/>
        </w:rPr>
        <w:t>[PESEL]</w:t>
      </w:r>
    </w:p>
    <w:p>
      <w:pPr>
        <w:pStyle w:val="normal1"/>
        <w:ind w:hanging="0" w:left="5669"/>
        <w:jc w:val="left"/>
        <w:rPr>
          <w:rFonts w:ascii="Times New Roman" w:hAnsi="Times New Roman" w:eastAsia="Times New Roman" w:cs="Times New Roman"/>
        </w:rPr>
      </w:pPr>
      <w:commentRangeStart w:id="7"/>
      <w:sdt>
        <w:sdtPr>
          <w:tag w:val="goog_rdk_7"/>
        </w:sdtPr>
        <w:sdtContent>
          <w:r>
            <w:rPr/>
          </w:r>
          <w:r>
            <w:rPr/>
          </w:r>
        </w:sdtContent>
      </w:sdt>
      <w:r>
        <w:rPr>
          <w:rFonts w:eastAsia="Times New Roman" w:cs="Times New Roman" w:ascii="Times New Roman" w:hAnsi="Times New Roman"/>
        </w:rPr>
        <w:t>[adres poczty elektronicznej i numer telefonu]</w:t>
      </w:r>
      <w:commentRangeEnd w:id="7"/>
      <w:r>
        <w:commentReference w:id="7"/>
      </w:r>
      <w:r>
        <w:rPr>
          <w:rFonts w:eastAsia="Times New Roman" w:cs="Times New Roman" w:ascii="Times New Roman" w:hAnsi="Times New Roman"/>
        </w:rPr>
      </w:r>
    </w:p>
    <w:p>
      <w:pPr>
        <w:pStyle w:val="normal1"/>
        <w:ind w:hanging="0" w:left="5669"/>
        <w:jc w:val="left"/>
        <w:rPr>
          <w:rFonts w:ascii="Times New Roman" w:hAnsi="Times New Roman" w:eastAsia="Times New Roman" w:cs="Times New Roman"/>
        </w:rPr>
      </w:pPr>
      <w:r>
        <w:rPr>
          <w:rFonts w:eastAsia="Times New Roman" w:cs="Times New Roman" w:ascii="Times New Roman" w:hAnsi="Times New Roman"/>
        </w:rPr>
      </w:r>
    </w:p>
    <w:p>
      <w:pPr>
        <w:pStyle w:val="normal1"/>
        <w:jc w:val="left"/>
        <w:rPr>
          <w:rFonts w:ascii="Times New Roman" w:hAnsi="Times New Roman" w:eastAsia="Times New Roman" w:cs="Times New Roman"/>
        </w:rPr>
      </w:pPr>
      <w:r>
        <w:rPr>
          <w:rFonts w:eastAsia="Times New Roman" w:cs="Times New Roman" w:ascii="Times New Roman" w:hAnsi="Times New Roman"/>
        </w:rPr>
      </w:r>
    </w:p>
    <w:p>
      <w:pPr>
        <w:pStyle w:val="normal1"/>
        <w:jc w:val="center"/>
        <w:rPr>
          <w:rFonts w:ascii="Times New Roman" w:hAnsi="Times New Roman" w:eastAsia="Times New Roman" w:cs="Times New Roman"/>
          <w:b/>
        </w:rPr>
      </w:pPr>
      <w:r>
        <w:rPr>
          <w:rFonts w:eastAsia="Times New Roman" w:cs="Times New Roman" w:ascii="Times New Roman" w:hAnsi="Times New Roman"/>
          <w:b/>
        </w:rPr>
      </w:r>
    </w:p>
    <w:p>
      <w:pPr>
        <w:pStyle w:val="normal1"/>
        <w:jc w:val="center"/>
        <w:rPr>
          <w:rFonts w:ascii="Times New Roman" w:hAnsi="Times New Roman" w:eastAsia="Times New Roman" w:cs="Times New Roman"/>
          <w:b/>
        </w:rPr>
      </w:pPr>
      <w:r>
        <w:rPr>
          <w:rFonts w:eastAsia="Times New Roman" w:cs="Times New Roman" w:ascii="Times New Roman" w:hAnsi="Times New Roman"/>
          <w:b/>
        </w:rPr>
        <w:t>WNIOSEK O SPROSTOWANIE AKTU URODZENIA</w:t>
      </w:r>
    </w:p>
    <w:p>
      <w:pPr>
        <w:pStyle w:val="normal1"/>
        <w:jc w:val="center"/>
        <w:rPr>
          <w:rFonts w:ascii="Times New Roman" w:hAnsi="Times New Roman" w:eastAsia="Times New Roman" w:cs="Times New Roman"/>
          <w:b/>
        </w:rPr>
      </w:pPr>
      <w:r>
        <w:rPr>
          <w:rFonts w:eastAsia="Times New Roman" w:cs="Times New Roman" w:ascii="Times New Roman" w:hAnsi="Times New Roman"/>
          <w:b/>
        </w:rPr>
      </w:r>
    </w:p>
    <w:p>
      <w:pPr>
        <w:pStyle w:val="normal1"/>
        <w:jc w:val="center"/>
        <w:rPr>
          <w:rFonts w:ascii="Times New Roman" w:hAnsi="Times New Roman" w:eastAsia="Times New Roman" w:cs="Times New Roman"/>
          <w:b/>
        </w:rPr>
      </w:pPr>
      <w:r>
        <w:rPr>
          <w:rFonts w:eastAsia="Times New Roman" w:cs="Times New Roman" w:ascii="Times New Roman" w:hAnsi="Times New Roman"/>
          <w:b/>
        </w:rPr>
      </w:r>
    </w:p>
    <w:p>
      <w:pPr>
        <w:pStyle w:val="normal1"/>
        <w:jc w:val="both"/>
        <w:rPr>
          <w:rFonts w:ascii="Times New Roman" w:hAnsi="Times New Roman" w:eastAsia="Times New Roman" w:cs="Times New Roman"/>
        </w:rPr>
      </w:pPr>
      <w:r>
        <w:rPr>
          <w:rFonts w:eastAsia="Times New Roman" w:cs="Times New Roman" w:ascii="Times New Roman" w:hAnsi="Times New Roman"/>
        </w:rPr>
        <w:t>Na podstawie art. 36 ustawy Prawo o aktach stanu cywilnego wnoszę o:</w:t>
      </w:r>
    </w:p>
    <w:p>
      <w:pPr>
        <w:pStyle w:val="normal1"/>
        <w:jc w:val="both"/>
        <w:rPr>
          <w:rFonts w:ascii="Times New Roman" w:hAnsi="Times New Roman" w:eastAsia="Times New Roman" w:cs="Times New Roman"/>
        </w:rPr>
      </w:pPr>
      <w:r>
        <w:rPr>
          <w:rFonts w:eastAsia="Times New Roman" w:cs="Times New Roman" w:ascii="Times New Roman" w:hAnsi="Times New Roman"/>
        </w:rPr>
      </w:r>
    </w:p>
    <w:p>
      <w:pPr>
        <w:pStyle w:val="normal1"/>
        <w:numPr>
          <w:ilvl w:val="0"/>
          <w:numId w:val="2"/>
        </w:numPr>
        <w:ind w:hanging="360" w:left="720"/>
        <w:jc w:val="both"/>
        <w:rPr>
          <w:rFonts w:ascii="Times New Roman" w:hAnsi="Times New Roman" w:eastAsia="Times New Roman" w:cs="Times New Roman"/>
        </w:rPr>
      </w:pPr>
      <w:r>
        <w:rPr>
          <w:rFonts w:eastAsia="Times New Roman" w:cs="Times New Roman" w:ascii="Times New Roman" w:hAnsi="Times New Roman"/>
        </w:rPr>
        <w:t>sprostowanie aktu urodzenia Wnioskodawczyni zarejestrowanego w Urzędzie Stanu Cywilne</w:t>
      </w:r>
      <w:r>
        <w:rPr>
          <w:rFonts w:eastAsia="Times New Roman" w:cs="Times New Roman" w:ascii="Arial" w:hAnsi="Arial"/>
          <w:sz w:val="20"/>
          <w:szCs w:val="20"/>
        </w:rPr>
        <w:t xml:space="preserve">go w </w:t>
      </w:r>
      <w:commentRangeStart w:id="8"/>
      <w:sdt>
        <w:sdtPr>
          <w:tag w:val="goog_rdk_9"/>
        </w:sdtPr>
        <w:sdtContent>
          <w:r>
            <w:rPr>
              <w:rFonts w:eastAsia="Times New Roman" w:cs="Times New Roman" w:ascii="Arial" w:hAnsi="Arial"/>
              <w:sz w:val="20"/>
              <w:szCs w:val="20"/>
            </w:rPr>
          </w:r>
          <w:r>
            <w:rPr>
              <w:rFonts w:eastAsia="Times New Roman" w:cs="Times New Roman" w:ascii="Arial" w:hAnsi="Arial"/>
              <w:sz w:val="20"/>
              <w:szCs w:val="20"/>
            </w:rPr>
          </w:r>
        </w:sdtContent>
      </w:sdt>
      <w:r>
        <w:rPr>
          <w:rFonts w:eastAsia="Times New Roman" w:cs="Times New Roman" w:ascii="Arial" w:hAnsi="Arial"/>
          <w:sz w:val="20"/>
          <w:szCs w:val="20"/>
        </w:rPr>
        <w:t>[nazwa miejscowości]</w:t>
      </w:r>
      <w:r>
        <w:rPr>
          <w:rFonts w:eastAsia="Times New Roman" w:cs="Times New Roman" w:ascii="Arial" w:hAnsi="Arial"/>
          <w:sz w:val="20"/>
          <w:szCs w:val="20"/>
        </w:rPr>
      </w:r>
      <w:commentRangeEnd w:id="8"/>
      <w:r>
        <w:commentReference w:id="8"/>
      </w:r>
      <w:r>
        <w:rPr>
          <w:rFonts w:eastAsia="Times New Roman" w:cs="Times New Roman" w:ascii="Arial" w:hAnsi="Arial"/>
          <w:sz w:val="20"/>
          <w:szCs w:val="20"/>
        </w:rPr>
        <w:t xml:space="preserve"> za nr  </w:t>
      </w:r>
      <w:commentRangeStart w:id="9"/>
      <w:sdt>
        <w:sdtPr>
          <w:tag w:val="goog_rdk_10"/>
        </w:sdtPr>
        <w:sdtContent>
          <w:r>
            <w:rPr>
              <w:rFonts w:eastAsia="Times New Roman" w:cs="Times New Roman" w:ascii="Arial" w:hAnsi="Arial"/>
              <w:sz w:val="20"/>
              <w:szCs w:val="20"/>
            </w:rPr>
          </w:r>
          <w:r>
            <w:rPr>
              <w:rFonts w:eastAsia="Times New Roman" w:cs="Times New Roman" w:ascii="Arial" w:hAnsi="Arial"/>
              <w:sz w:val="20"/>
              <w:szCs w:val="20"/>
            </w:rPr>
          </w:r>
        </w:sdtContent>
      </w:sdt>
      <w:r>
        <w:rPr>
          <w:rFonts w:eastAsia="Times New Roman" w:cs="Times New Roman" w:ascii="Arial" w:hAnsi="Arial"/>
          <w:sz w:val="20"/>
          <w:szCs w:val="20"/>
        </w:rPr>
        <w:t>[</w:t>
      </w:r>
      <w:r>
        <w:rPr>
          <w:rFonts w:eastAsia="Times New Roman" w:cs="Times New Roman" w:ascii="Arial" w:hAnsi="Arial"/>
          <w:sz w:val="20"/>
          <w:szCs w:val="20"/>
        </w:rPr>
        <w:t>numer aktu</w:t>
      </w:r>
      <w:r>
        <w:rPr>
          <w:rFonts w:eastAsia="Times New Roman" w:cs="Times New Roman" w:ascii="Arial" w:hAnsi="Arial"/>
          <w:sz w:val="20"/>
          <w:szCs w:val="20"/>
        </w:rPr>
      </w:r>
      <w:commentRangeEnd w:id="9"/>
      <w:r>
        <w:commentReference w:id="9"/>
      </w:r>
      <w:r>
        <w:rPr>
          <w:rFonts w:eastAsia="Times New Roman" w:cs="Times New Roman" w:ascii="Arial" w:hAnsi="Arial"/>
          <w:sz w:val="20"/>
          <w:szCs w:val="20"/>
        </w:rPr>
        <w:t xml:space="preserve">], w ten sposób, żeby: </w:t>
      </w:r>
    </w:p>
    <w:p>
      <w:pPr>
        <w:pStyle w:val="BodyText"/>
        <w:numPr>
          <w:ilvl w:val="1"/>
          <w:numId w:val="2"/>
        </w:numPr>
        <w:ind w:hanging="360" w:left="1440"/>
        <w:jc w:val="both"/>
        <w:rPr>
          <w:rFonts w:ascii="Arial" w:hAnsi="Arial"/>
          <w:sz w:val="20"/>
          <w:szCs w:val="20"/>
        </w:rPr>
      </w:pPr>
      <w:r>
        <w:rPr>
          <w:rFonts w:eastAsia="Times New Roman" w:cs="Times New Roman" w:ascii="Arial" w:hAnsi="Arial"/>
          <w:b w:val="false"/>
          <w:i w:val="false"/>
          <w:caps w:val="false"/>
          <w:smallCaps w:val="false"/>
          <w:sz w:val="20"/>
          <w:szCs w:val="20"/>
          <w:lang w:val="pl-PL"/>
        </w:rPr>
        <w:t xml:space="preserve">w miejsce wpisanej w akcie urodzenia płci oznaczonej jako </w:t>
      </w:r>
      <w:r>
        <w:rPr>
          <w:rFonts w:eastAsia="Times New Roman" w:cs="Times New Roman" w:ascii="Arial" w:hAnsi="Arial"/>
          <w:b w:val="false"/>
          <w:i w:val="false"/>
          <w:caps w:val="false"/>
          <w:smallCaps w:val="false"/>
          <w:sz w:val="20"/>
          <w:szCs w:val="20"/>
          <w:lang w:val="pl-PL"/>
        </w:rPr>
        <w:t>męska</w:t>
      </w:r>
      <w:r>
        <w:rPr>
          <w:rFonts w:eastAsia="Times New Roman" w:cs="Times New Roman" w:ascii="Arial" w:hAnsi="Arial"/>
          <w:b w:val="false"/>
          <w:i w:val="false"/>
          <w:caps w:val="false"/>
          <w:smallCaps w:val="false"/>
          <w:sz w:val="20"/>
          <w:szCs w:val="20"/>
          <w:lang w:val="pl-PL"/>
        </w:rPr>
        <w:t xml:space="preserve"> (</w:t>
      </w:r>
      <w:r>
        <w:rPr>
          <w:rFonts w:eastAsia="Times New Roman" w:cs="Times New Roman" w:ascii="Arial" w:hAnsi="Arial"/>
          <w:b w:val="false"/>
          <w:i w:val="false"/>
          <w:caps w:val="false"/>
          <w:smallCaps w:val="false"/>
          <w:sz w:val="20"/>
          <w:szCs w:val="20"/>
          <w:lang w:val="pl-PL"/>
        </w:rPr>
        <w:t>mężczyna</w:t>
      </w:r>
      <w:r>
        <w:rPr>
          <w:rFonts w:eastAsia="Times New Roman" w:cs="Times New Roman" w:ascii="Arial" w:hAnsi="Arial"/>
          <w:b w:val="false"/>
          <w:i w:val="false"/>
          <w:caps w:val="false"/>
          <w:smallCaps w:val="false"/>
          <w:sz w:val="20"/>
          <w:szCs w:val="20"/>
          <w:lang w:val="pl-PL"/>
        </w:rPr>
        <w:t xml:space="preserve">) wpisać płeć </w:t>
      </w:r>
      <w:r>
        <w:rPr>
          <w:rFonts w:eastAsia="Times New Roman" w:cs="Times New Roman" w:ascii="Arial" w:hAnsi="Arial"/>
          <w:b w:val="false"/>
          <w:i w:val="false"/>
          <w:caps w:val="false"/>
          <w:smallCaps w:val="false"/>
          <w:sz w:val="20"/>
          <w:szCs w:val="20"/>
          <w:lang w:val="pl-PL"/>
        </w:rPr>
        <w:t>żeńską</w:t>
      </w:r>
      <w:r>
        <w:rPr>
          <w:rFonts w:eastAsia="Times New Roman" w:cs="Times New Roman" w:ascii="Arial" w:hAnsi="Arial"/>
          <w:b w:val="false"/>
          <w:i w:val="false"/>
          <w:caps w:val="false"/>
          <w:smallCaps w:val="false"/>
          <w:sz w:val="20"/>
          <w:szCs w:val="20"/>
          <w:lang w:val="pl-PL"/>
        </w:rPr>
        <w:t xml:space="preserve"> (</w:t>
      </w:r>
      <w:r>
        <w:rPr>
          <w:rFonts w:eastAsia="Times New Roman" w:cs="Times New Roman" w:ascii="Arial" w:hAnsi="Arial"/>
          <w:b w:val="false"/>
          <w:i w:val="false"/>
          <w:caps w:val="false"/>
          <w:smallCaps w:val="false"/>
          <w:sz w:val="20"/>
          <w:szCs w:val="20"/>
          <w:lang w:val="pl-PL"/>
        </w:rPr>
        <w:t>kobieta</w:t>
      </w:r>
      <w:r>
        <w:rPr>
          <w:rFonts w:eastAsia="Times New Roman" w:cs="Times New Roman" w:ascii="Arial" w:hAnsi="Arial"/>
          <w:b w:val="false"/>
          <w:i w:val="false"/>
          <w:caps w:val="false"/>
          <w:smallCaps w:val="false"/>
          <w:sz w:val="20"/>
          <w:szCs w:val="20"/>
          <w:lang w:val="pl-PL"/>
        </w:rPr>
        <w:t>);</w:t>
      </w:r>
      <w:r>
        <w:rPr>
          <w:rFonts w:eastAsia="Times New Roman" w:cs="Times New Roman" w:ascii="Arial" w:hAnsi="Arial"/>
          <w:b w:val="false"/>
          <w:i w:val="false"/>
          <w:caps w:val="false"/>
          <w:smallCaps w:val="false"/>
          <w:sz w:val="20"/>
          <w:szCs w:val="20"/>
        </w:rPr>
        <w:t> </w:t>
      </w:r>
    </w:p>
    <w:p>
      <w:pPr>
        <w:pStyle w:val="BodyText"/>
        <w:numPr>
          <w:ilvl w:val="1"/>
          <w:numId w:val="2"/>
        </w:numPr>
        <w:ind w:hanging="360" w:left="1440"/>
        <w:jc w:val="both"/>
        <w:rPr>
          <w:rFonts w:ascii="Arial" w:hAnsi="Arial"/>
          <w:sz w:val="20"/>
          <w:szCs w:val="20"/>
        </w:rPr>
      </w:pPr>
      <w:commentRangeStart w:id="10"/>
      <w:commentRangeStart w:id="11"/>
      <w:r>
        <w:rPr>
          <w:rFonts w:ascii="Arial" w:hAnsi="Arial"/>
          <w:sz w:val="20"/>
          <w:szCs w:val="20"/>
          <w:lang w:val="pl-PL"/>
        </w:rPr>
        <w:t>i w miejsce wpisanego w akcie urodzenia imienia/imion […] zostało wpisane/zostały wpisane imię/imiona …</w:t>
      </w:r>
      <w:r>
        <w:rPr>
          <w:rFonts w:ascii="Arial" w:hAnsi="Arial"/>
          <w:sz w:val="20"/>
          <w:szCs w:val="20"/>
        </w:rPr>
        <w:t> </w:t>
      </w:r>
      <w:r>
        <w:rPr>
          <w:rFonts w:ascii="Arial" w:hAnsi="Arial"/>
          <w:sz w:val="20"/>
          <w:szCs w:val="20"/>
        </w:rPr>
        <w:commentReference w:id="12"/>
      </w:r>
      <w:commentRangeEnd w:id="11"/>
      <w:r>
        <w:commentReference w:id="11"/>
      </w:r>
      <w:commentRangeEnd w:id="10"/>
      <w:r>
        <w:commentReference w:id="10"/>
      </w:r>
      <w:r>
        <w:rPr>
          <w:rFonts w:ascii="Arial" w:hAnsi="Arial"/>
          <w:sz w:val="20"/>
          <w:szCs w:val="20"/>
        </w:rPr>
      </w:r>
    </w:p>
    <w:p>
      <w:pPr>
        <w:pStyle w:val="normal1"/>
        <w:numPr>
          <w:ilvl w:val="1"/>
          <w:numId w:val="2"/>
        </w:numPr>
        <w:ind w:hanging="360" w:left="1440"/>
        <w:jc w:val="both"/>
        <w:rPr>
          <w:rFonts w:ascii="Arial" w:hAnsi="Arial"/>
          <w:sz w:val="20"/>
          <w:szCs w:val="20"/>
        </w:rPr>
      </w:pPr>
      <w:commentRangeStart w:id="13"/>
      <w:sdt>
        <w:sdtPr>
          <w:tag w:val="goog_rdk_12"/>
        </w:sdtPr>
        <w:sdtContent>
          <w:r>
            <w:rPr>
              <w:rFonts w:ascii="Arial" w:hAnsi="Arial"/>
              <w:sz w:val="20"/>
              <w:szCs w:val="20"/>
            </w:rPr>
          </w:r>
          <w:r>
            <w:rPr>
              <w:rFonts w:ascii="Arial" w:hAnsi="Arial"/>
              <w:sz w:val="20"/>
              <w:szCs w:val="20"/>
            </w:rPr>
          </w:r>
        </w:sdtContent>
      </w:sdt>
      <w:r>
        <w:rPr>
          <w:rFonts w:eastAsia="Times New Roman" w:cs="Times New Roman" w:ascii="Arial" w:hAnsi="Arial"/>
          <w:sz w:val="20"/>
          <w:szCs w:val="20"/>
        </w:rPr>
        <w:t>nazwisko [...] zostało zmienione na [...]</w:t>
      </w:r>
      <w:r>
        <w:rPr>
          <w:rFonts w:eastAsia="Times New Roman" w:cs="Times New Roman" w:ascii="Arial" w:hAnsi="Arial"/>
          <w:sz w:val="20"/>
          <w:szCs w:val="20"/>
        </w:rPr>
      </w:r>
      <w:commentRangeEnd w:id="13"/>
      <w:r>
        <w:commentReference w:id="13"/>
      </w:r>
      <w:r>
        <w:rPr>
          <w:rFonts w:eastAsia="Times New Roman" w:cs="Times New Roman" w:ascii="Arial" w:hAnsi="Arial"/>
          <w:sz w:val="20"/>
          <w:szCs w:val="20"/>
        </w:rPr>
        <w:t>;</w:t>
      </w:r>
    </w:p>
    <w:p>
      <w:pPr>
        <w:pStyle w:val="normal1"/>
        <w:numPr>
          <w:ilvl w:val="0"/>
          <w:numId w:val="2"/>
        </w:numPr>
        <w:ind w:hanging="360" w:left="720"/>
        <w:jc w:val="both"/>
        <w:rPr>
          <w:rFonts w:ascii="Arial" w:hAnsi="Arial"/>
          <w:sz w:val="20"/>
          <w:szCs w:val="20"/>
        </w:rPr>
      </w:pPr>
      <w:r>
        <w:rPr>
          <w:rFonts w:eastAsia="Times New Roman" w:cs="Times New Roman" w:ascii="Arial" w:hAnsi="Arial"/>
          <w:sz w:val="20"/>
          <w:szCs w:val="20"/>
        </w:rPr>
        <w:t xml:space="preserve">rozpoznanie sprawy na </w:t>
      </w:r>
      <w:commentRangeStart w:id="14"/>
      <w:sdt>
        <w:sdtPr>
          <w:tag w:val="goog_rdk_13"/>
        </w:sdtPr>
        <w:sdtContent>
          <w:r>
            <w:rPr>
              <w:rFonts w:eastAsia="Times New Roman" w:cs="Times New Roman" w:ascii="Arial" w:hAnsi="Arial"/>
              <w:sz w:val="20"/>
              <w:szCs w:val="20"/>
            </w:rPr>
          </w:r>
          <w:r>
            <w:rPr>
              <w:rFonts w:eastAsia="Times New Roman" w:cs="Times New Roman" w:ascii="Arial" w:hAnsi="Arial"/>
              <w:sz w:val="20"/>
              <w:szCs w:val="20"/>
            </w:rPr>
          </w:r>
        </w:sdtContent>
      </w:sdt>
      <w:r>
        <w:rPr>
          <w:rFonts w:eastAsia="Times New Roman" w:cs="Times New Roman" w:ascii="Arial" w:hAnsi="Arial"/>
          <w:sz w:val="20"/>
          <w:szCs w:val="20"/>
        </w:rPr>
        <w:t>posiedzeniu niejawnym</w:t>
      </w:r>
      <w:r>
        <w:rPr>
          <w:rFonts w:eastAsia="Times New Roman" w:cs="Times New Roman" w:ascii="Arial" w:hAnsi="Arial"/>
          <w:sz w:val="20"/>
          <w:szCs w:val="20"/>
        </w:rPr>
      </w:r>
      <w:commentRangeEnd w:id="14"/>
      <w:r>
        <w:commentReference w:id="14"/>
      </w:r>
      <w:r>
        <w:rPr>
          <w:rFonts w:eastAsia="Times New Roman" w:cs="Times New Roman" w:ascii="Arial" w:hAnsi="Arial"/>
          <w:sz w:val="20"/>
          <w:szCs w:val="20"/>
        </w:rPr>
        <w:t>;</w:t>
      </w:r>
    </w:p>
    <w:p>
      <w:pPr>
        <w:pStyle w:val="normal1"/>
        <w:numPr>
          <w:ilvl w:val="0"/>
          <w:numId w:val="2"/>
        </w:numPr>
        <w:ind w:hanging="360" w:left="720"/>
        <w:jc w:val="both"/>
        <w:rPr>
          <w:rFonts w:ascii="Arial" w:hAnsi="Arial"/>
          <w:sz w:val="20"/>
          <w:szCs w:val="20"/>
        </w:rPr>
      </w:pPr>
      <w:r>
        <w:rPr>
          <w:rFonts w:eastAsia="Times New Roman" w:cs="Times New Roman" w:ascii="Arial" w:hAnsi="Arial"/>
          <w:sz w:val="20"/>
          <w:szCs w:val="20"/>
        </w:rPr>
        <w:t>rozpoznanie niniejszej sprawy w trybie pilnym, zgodnie z § 2 pkt 5 lit. x Rozporządzenia Ministra Sprawiedliwości z dnia 18 czerwca 2019 r. Regulamin urzędowania sądów powszechnych;</w:t>
      </w:r>
    </w:p>
    <w:p>
      <w:pPr>
        <w:pStyle w:val="normal1"/>
        <w:numPr>
          <w:ilvl w:val="0"/>
          <w:numId w:val="2"/>
        </w:numPr>
        <w:ind w:hanging="360" w:left="720"/>
        <w:jc w:val="both"/>
        <w:rPr>
          <w:rFonts w:ascii="Times New Roman" w:hAnsi="Times New Roman" w:eastAsia="Times New Roman" w:cs="Times New Roman"/>
        </w:rPr>
      </w:pPr>
      <w:commentRangeStart w:id="15"/>
      <w:sdt>
        <w:sdtPr>
          <w:tag w:val="goog_rdk_14"/>
        </w:sdtPr>
        <w:sdtContent>
          <w:r>
            <w:rPr/>
          </w:r>
          <w:r>
            <w:rPr/>
          </w:r>
        </w:sdtContent>
      </w:sdt>
      <w:r>
        <w:rPr>
          <w:rFonts w:eastAsia="Times New Roman" w:cs="Times New Roman" w:ascii="Times New Roman" w:hAnsi="Times New Roman"/>
        </w:rPr>
        <w:t>dopuszczenie i przeprowadzenie dowodu z dokumentów:</w:t>
      </w:r>
      <w:commentRangeEnd w:id="15"/>
      <w:r>
        <w:commentReference w:id="15"/>
      </w:r>
      <w:r>
        <w:rPr>
          <w:rFonts w:eastAsia="Times New Roman" w:cs="Times New Roman" w:ascii="Times New Roman" w:hAnsi="Times New Roman"/>
        </w:rPr>
      </w:r>
    </w:p>
    <w:p>
      <w:pPr>
        <w:pStyle w:val="normal1"/>
        <w:numPr>
          <w:ilvl w:val="1"/>
          <w:numId w:val="2"/>
        </w:numPr>
        <w:ind w:hanging="360" w:left="1440"/>
        <w:jc w:val="both"/>
        <w:rPr>
          <w:rFonts w:ascii="Times New Roman" w:hAnsi="Times New Roman" w:eastAsia="Times New Roman" w:cs="Times New Roman"/>
        </w:rPr>
      </w:pPr>
      <w:sdt>
        <w:sdtPr>
          <w:tag w:val="goog_rdk_15"/>
        </w:sdtPr>
        <w:sdtContent>
          <w:r>
            <w:rPr/>
          </w:r>
          <w:r>
            <w:rPr/>
          </w:r>
        </w:sdtContent>
      </w:sdt>
      <w:r>
        <w:rPr>
          <w:rFonts w:eastAsia="Times New Roman" w:cs="Times New Roman" w:ascii="Times New Roman" w:hAnsi="Times New Roman"/>
        </w:rPr>
        <w:t xml:space="preserve">odpisu </w:t>
      </w:r>
      <w:r>
        <w:rPr>
          <w:rFonts w:eastAsia="Times New Roman" w:cs="Times New Roman" w:ascii="Times New Roman" w:hAnsi="Times New Roman"/>
        </w:rPr>
        <w:t xml:space="preserve">zupełnego aktu urodzenia – na fakt oznaczenia mojej płci w akcie urodzenia jako męskiej; </w:t>
      </w:r>
    </w:p>
    <w:p>
      <w:pPr>
        <w:pStyle w:val="normal1"/>
        <w:numPr>
          <w:ilvl w:val="1"/>
          <w:numId w:val="2"/>
        </w:numPr>
        <w:ind w:hanging="360" w:left="1440"/>
        <w:jc w:val="both"/>
        <w:rPr>
          <w:rFonts w:ascii="Times New Roman" w:hAnsi="Times New Roman" w:eastAsia="Times New Roman" w:cs="Times New Roman"/>
        </w:rPr>
      </w:pPr>
      <w:commentRangeStart w:id="16"/>
      <w:sdt>
        <w:sdtPr>
          <w:tag w:val="goog_rdk_16"/>
        </w:sdtPr>
        <w:sdtContent>
          <w:r>
            <w:rPr/>
          </w:r>
          <w:r>
            <w:rPr/>
          </w:r>
        </w:sdtContent>
      </w:sdt>
      <w:r>
        <w:rPr>
          <w:rFonts w:eastAsia="Times New Roman" w:cs="Times New Roman" w:ascii="Times New Roman" w:hAnsi="Times New Roman"/>
        </w:rPr>
        <w:t>opinii psychologa/psychologa-seksuologa</w:t>
      </w:r>
      <w:r>
        <w:rPr>
          <w:rFonts w:eastAsia="Times New Roman" w:cs="Times New Roman" w:ascii="Times New Roman" w:hAnsi="Times New Roman"/>
        </w:rPr>
      </w:r>
      <w:commentRangeEnd w:id="16"/>
      <w:r>
        <w:commentReference w:id="16"/>
      </w:r>
      <w:r>
        <w:rPr>
          <w:rFonts w:eastAsia="Times New Roman" w:cs="Times New Roman" w:ascii="Times New Roman" w:hAnsi="Times New Roman"/>
        </w:rPr>
        <w:t xml:space="preserve"> – na fakt stwierdzenia u mnie trwałej identyfikacji z płcią żeńską, wykluczenia wtórnego pochodzenia niezgodności płciowej, postawienia mi formalnej diagnozy transseksualizmu – </w:t>
      </w:r>
      <w:commentRangeStart w:id="17"/>
      <w:sdt>
        <w:sdtPr>
          <w:tag w:val="goog_rdk_17"/>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F64.0 według nomenklatury ICD-10, a według nomenklatury ICD-11 niezgodności płciowej – HA60</w:t>
      </w:r>
      <w:r>
        <w:rPr>
          <w:rFonts w:eastAsia="Times New Roman" w:cs="Times New Roman" w:ascii="Times New Roman" w:hAnsi="Times New Roman"/>
        </w:rPr>
        <w:t>;</w:t>
      </w:r>
      <w:commentRangeEnd w:id="17"/>
      <w:r>
        <w:commentReference w:id="17"/>
      </w:r>
      <w:r>
        <w:rPr>
          <w:rFonts w:eastAsia="Times New Roman" w:cs="Times New Roman" w:ascii="Times New Roman" w:hAnsi="Times New Roman"/>
        </w:rPr>
      </w:r>
    </w:p>
    <w:p>
      <w:pPr>
        <w:pStyle w:val="normal1"/>
        <w:numPr>
          <w:ilvl w:val="1"/>
          <w:numId w:val="2"/>
        </w:numPr>
        <w:ind w:hanging="360" w:left="1440"/>
        <w:jc w:val="both"/>
        <w:rPr>
          <w:rFonts w:ascii="Times New Roman" w:hAnsi="Times New Roman" w:eastAsia="Times New Roman" w:cs="Times New Roman"/>
        </w:rPr>
      </w:pPr>
      <w:commentRangeStart w:id="18"/>
      <w:sdt>
        <w:sdtPr>
          <w:tag w:val="goog_rdk_18"/>
        </w:sdtPr>
        <w:sdtContent>
          <w:r>
            <w:rPr/>
          </w:r>
          <w:r>
            <w:rPr/>
          </w:r>
        </w:sdtContent>
      </w:sdt>
      <w:r>
        <w:rPr>
          <w:rFonts w:eastAsia="Times New Roman" w:cs="Times New Roman" w:ascii="Times New Roman" w:hAnsi="Times New Roman"/>
        </w:rPr>
        <w:t>zaświadczenia lekarza psychiatry/seksuolog</w:t>
      </w:r>
      <w:r>
        <w:rPr>
          <w:rFonts w:eastAsia="Times New Roman" w:cs="Times New Roman" w:ascii="Times New Roman" w:hAnsi="Times New Roman"/>
        </w:rPr>
        <w:t xml:space="preserve">a </w:t>
      </w:r>
      <w:r>
        <w:rPr>
          <w:rFonts w:eastAsia="Times New Roman" w:cs="Times New Roman" w:ascii="Times New Roman" w:hAnsi="Times New Roman"/>
        </w:rPr>
      </w:r>
      <w:commentRangeEnd w:id="18"/>
      <w:r>
        <w:commentReference w:id="18"/>
      </w:r>
      <w:r>
        <w:rPr>
          <w:rFonts w:eastAsia="Times New Roman" w:cs="Times New Roman" w:ascii="Times New Roman" w:hAnsi="Times New Roman"/>
        </w:rPr>
        <w:t>– na fakt występowania u mnie trwałej identyfikacji z płcią żeńską, wykluczenia wtórnego pochodzenia niezgodności płciowej, postawienia mi formalnej diagnozy transseksualizmu – F64.0 według nomenklatury ICD-10, a według nomenklatury ICD-11 niezgodności płciowej – HA60;</w:t>
      </w:r>
    </w:p>
    <w:p>
      <w:pPr>
        <w:pStyle w:val="normal1"/>
        <w:numPr>
          <w:ilvl w:val="1"/>
          <w:numId w:val="2"/>
        </w:numPr>
        <w:ind w:hanging="360" w:left="1440"/>
        <w:jc w:val="both"/>
        <w:rPr>
          <w:rFonts w:ascii="Times New Roman" w:hAnsi="Times New Roman" w:eastAsia="Times New Roman" w:cs="Times New Roman"/>
        </w:rPr>
      </w:pPr>
      <w:commentRangeStart w:id="19"/>
      <w:sdt>
        <w:sdtPr>
          <w:tag w:val="goog_rdk_19"/>
        </w:sdtPr>
        <w:sdtContent>
          <w:r>
            <w:rPr/>
          </w:r>
          <w:r>
            <w:rPr/>
          </w:r>
        </w:sdtContent>
      </w:sdt>
      <w:r>
        <w:rPr>
          <w:rFonts w:eastAsia="Times New Roman" w:cs="Times New Roman" w:ascii="Times New Roman" w:hAnsi="Times New Roman"/>
        </w:rPr>
        <w:t>zaświadczenia lekarskiego</w:t>
      </w:r>
      <w:r>
        <w:rPr>
          <w:rFonts w:eastAsia="Times New Roman" w:cs="Times New Roman" w:ascii="Times New Roman" w:hAnsi="Times New Roman"/>
        </w:rPr>
      </w:r>
      <w:commentRangeEnd w:id="19"/>
      <w:r>
        <w:commentReference w:id="19"/>
      </w:r>
      <w:r>
        <w:rPr>
          <w:rFonts w:eastAsia="Times New Roman" w:cs="Times New Roman" w:ascii="Times New Roman" w:hAnsi="Times New Roman"/>
        </w:rPr>
        <w:t xml:space="preserve"> – na fakt wdrożenia u mnie terapii hormonalnej;</w:t>
      </w:r>
    </w:p>
    <w:p>
      <w:pPr>
        <w:pStyle w:val="normal1"/>
        <w:numPr>
          <w:ilvl w:val="1"/>
          <w:numId w:val="2"/>
        </w:numPr>
        <w:ind w:hanging="360" w:left="1440"/>
        <w:jc w:val="both"/>
        <w:rPr>
          <w:rFonts w:ascii="Times New Roman" w:hAnsi="Times New Roman" w:eastAsia="Times New Roman" w:cs="Times New Roman"/>
        </w:rPr>
      </w:pPr>
      <w:r>
        <w:rPr>
          <w:rFonts w:eastAsia="Times New Roman" w:cs="Times New Roman" w:ascii="Times New Roman" w:hAnsi="Times New Roman"/>
        </w:rPr>
        <w:t xml:space="preserve">dokumentu zatytułowanego </w:t>
      </w:r>
      <w:r>
        <w:rPr>
          <w:rFonts w:eastAsia="Times New Roman" w:cs="Times New Roman" w:ascii="Times New Roman" w:hAnsi="Times New Roman"/>
          <w:i/>
        </w:rPr>
        <w:t>Zalecenia Polskiego Towarzystwa Seksuologicznego dotyczące opieki nad zdrowiem dorosłych osób transpłciowych – stanowisko panelu ekspertów</w:t>
      </w:r>
      <w:r>
        <w:rPr>
          <w:rFonts w:eastAsia="Times New Roman" w:cs="Times New Roman" w:ascii="Times New Roman" w:hAnsi="Times New Roman"/>
        </w:rPr>
        <w:t xml:space="preserve"> – na fakt aktualnych polskich standardów opieki nad osobami transpłciowymi, wymogów diagnostycznych niezbędnych do postawienia diagnozy F64.0, spełniania przeze mnie kryteriów diagnostycznych;</w:t>
      </w:r>
    </w:p>
    <w:p>
      <w:pPr>
        <w:pStyle w:val="normal1"/>
        <w:numPr>
          <w:ilvl w:val="1"/>
          <w:numId w:val="2"/>
        </w:numPr>
        <w:ind w:hanging="360" w:left="1440"/>
        <w:jc w:val="both"/>
        <w:rPr>
          <w:rFonts w:ascii="Times New Roman" w:hAnsi="Times New Roman" w:eastAsia="Times New Roman" w:cs="Times New Roman"/>
        </w:rPr>
      </w:pPr>
      <w:commentRangeStart w:id="20"/>
      <w:sdt>
        <w:sdtPr>
          <w:tag w:val="goog_rdk_20"/>
        </w:sdtPr>
        <w:sdtContent>
          <w:r>
            <w:rPr/>
          </w:r>
          <w:r>
            <w:rPr/>
          </w:r>
        </w:sdtContent>
      </w:sdt>
      <w:r>
        <w:rPr>
          <w:rFonts w:eastAsia="Times New Roman" w:cs="Times New Roman" w:ascii="Times New Roman" w:hAnsi="Times New Roman"/>
        </w:rPr>
        <w:t>decyzji o zmianie imienia</w:t>
      </w:r>
      <w:r>
        <w:rPr>
          <w:rFonts w:eastAsia="Times New Roman" w:cs="Times New Roman" w:ascii="Times New Roman" w:hAnsi="Times New Roman"/>
        </w:rPr>
      </w:r>
      <w:commentRangeEnd w:id="20"/>
      <w:r>
        <w:commentReference w:id="20"/>
      </w:r>
      <w:r>
        <w:rPr>
          <w:rFonts w:eastAsia="Times New Roman" w:cs="Times New Roman" w:ascii="Times New Roman" w:hAnsi="Times New Roman"/>
        </w:rPr>
        <w:t xml:space="preserve"> – na fakt zmiany imienia w związku z trwałym poczuciem przynależności do płci żeńskiej;</w:t>
      </w:r>
    </w:p>
    <w:p>
      <w:pPr>
        <w:pStyle w:val="normal1"/>
        <w:numPr>
          <w:ilvl w:val="1"/>
          <w:numId w:val="2"/>
        </w:numPr>
        <w:ind w:hanging="360" w:left="1440"/>
        <w:jc w:val="both"/>
        <w:rPr>
          <w:rFonts w:ascii="Times New Roman" w:hAnsi="Times New Roman" w:eastAsia="Times New Roman" w:cs="Times New Roman"/>
        </w:rPr>
      </w:pPr>
      <w:commentRangeStart w:id="21"/>
      <w:sdt>
        <w:sdtPr>
          <w:tag w:val="goog_rdk_21"/>
        </w:sdtPr>
        <w:sdtContent>
          <w:r>
            <w:rPr/>
          </w:r>
          <w:r>
            <w:rPr/>
          </w:r>
        </w:sdtContent>
      </w:sdt>
      <w:r>
        <w:rPr>
          <w:rFonts w:eastAsia="Times New Roman" w:cs="Times New Roman" w:ascii="Times New Roman" w:hAnsi="Times New Roman"/>
        </w:rPr>
        <w:t>wydruku z portali społecznościowych / plakietki identyfikacyjnej z miejsca pracy / wydruku z portalu USOS</w:t>
      </w:r>
      <w:r>
        <w:rPr>
          <w:rFonts w:eastAsia="Times New Roman" w:cs="Times New Roman" w:ascii="Times New Roman" w:hAnsi="Times New Roman"/>
        </w:rPr>
      </w:r>
      <w:commentRangeEnd w:id="21"/>
      <w:r>
        <w:commentReference w:id="21"/>
      </w:r>
      <w:r>
        <w:rPr>
          <w:rFonts w:eastAsia="Times New Roman" w:cs="Times New Roman" w:ascii="Times New Roman" w:hAnsi="Times New Roman"/>
        </w:rPr>
        <w:t xml:space="preserve"> – na fakt występowania u mnie trwałej identyfikacji z płcią żeńską, funkcjonowania jako kobieta w otoczeniu; </w:t>
      </w:r>
      <w:sdt>
        <w:sdtPr>
          <w:tag w:val="goog_rdk_22"/>
        </w:sdtPr>
        <w:sdtContent>
          <w:r>
            <w:rPr>
              <w:rFonts w:eastAsia="Times New Roman" w:cs="Times New Roman" w:ascii="Times New Roman" w:hAnsi="Times New Roman"/>
            </w:rPr>
          </w:r>
          <w:r>
            <w:rPr>
              <w:rFonts w:eastAsia="Times New Roman" w:cs="Times New Roman" w:ascii="Times New Roman" w:hAnsi="Times New Roman"/>
            </w:rPr>
          </w:r>
        </w:sdtContent>
      </w:sdt>
    </w:p>
    <w:p>
      <w:pPr>
        <w:pStyle w:val="normal1"/>
        <w:ind w:hanging="0" w:left="0"/>
        <w:jc w:val="both"/>
        <w:rPr>
          <w:rFonts w:ascii="Times New Roman" w:hAnsi="Times New Roman" w:eastAsia="Times New Roman" w:cs="Times New Roman"/>
          <w:u w:val="none"/>
        </w:rPr>
      </w:pPr>
      <w:r>
        <w:rPr>
          <w:rFonts w:eastAsia="Times New Roman" w:cs="Times New Roman" w:ascii="Times New Roman" w:hAnsi="Times New Roman"/>
          <w:u w:val="none"/>
        </w:rPr>
      </w:r>
    </w:p>
    <w:p>
      <w:pPr>
        <w:pStyle w:val="normal1"/>
        <w:spacing w:lineRule="auto" w:line="276"/>
        <w:jc w:val="both"/>
        <w:rPr>
          <w:rFonts w:ascii="Times New Roman" w:hAnsi="Times New Roman" w:eastAsia="Times New Roman" w:cs="Times New Roman"/>
        </w:rPr>
      </w:pPr>
      <w:commentRangeStart w:id="22"/>
      <w:sdt>
        <w:sdtPr>
          <w:tag w:val="goog_rdk_24"/>
        </w:sdtPr>
        <w:sdtContent>
          <w:r>
            <w:rPr/>
          </w:r>
          <w:r>
            <w:rPr/>
          </w:r>
        </w:sdtContent>
      </w:sdt>
      <w:r>
        <w:rPr>
          <w:rFonts w:eastAsia="Times New Roman" w:cs="Times New Roman" w:ascii="Times New Roman" w:hAnsi="Times New Roman"/>
        </w:rPr>
        <w:t xml:space="preserve">Jednocześnie przedkładam jako załącznik wydaną przez Rzecznika Praw Obywatelskich publikację </w:t>
      </w:r>
      <w:r>
        <w:rPr>
          <w:rFonts w:eastAsia="Times New Roman" w:cs="Times New Roman" w:ascii="Times New Roman" w:hAnsi="Times New Roman"/>
          <w:i/>
        </w:rPr>
        <w:t>Postępowania w sprawach o uzgodnienie płci. Przewodnik</w:t>
      </w:r>
      <w:r>
        <w:rPr>
          <w:rFonts w:eastAsia="Times New Roman" w:cs="Times New Roman" w:ascii="Times New Roman" w:hAnsi="Times New Roman"/>
        </w:rPr>
        <w:t>, zawierającą szereg specjalistycznych informacji dotyczących praw osób transpłciowych oraz aktualnych standardów orzeczniczych w sprawach o ustalenie płci.</w:t>
      </w:r>
      <w:r>
        <w:rPr>
          <w:rFonts w:eastAsia="Times New Roman" w:cs="Times New Roman" w:ascii="Times New Roman" w:hAnsi="Times New Roman"/>
        </w:rPr>
      </w:r>
      <w:commentRangeEnd w:id="22"/>
      <w:r>
        <w:commentReference w:id="22"/>
      </w:r>
      <w:r>
        <w:rPr>
          <w:rFonts w:eastAsia="Times New Roman" w:cs="Times New Roman" w:ascii="Times New Roman" w:hAnsi="Times New Roman"/>
        </w:rPr>
        <w:t xml:space="preserve"> </w:t>
      </w:r>
    </w:p>
    <w:p>
      <w:pPr>
        <w:pStyle w:val="normal1"/>
        <w:spacing w:lineRule="auto" w:line="276"/>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spacing w:lineRule="auto" w:line="276"/>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spacing w:lineRule="auto" w:line="276"/>
        <w:jc w:val="both"/>
        <w:rPr>
          <w:rFonts w:ascii="Times New Roman" w:hAnsi="Times New Roman" w:eastAsia="Times New Roman" w:cs="Times New Roman"/>
        </w:rPr>
      </w:pPr>
      <w:commentRangeStart w:id="23"/>
      <w:sdt>
        <w:sdtPr>
          <w:tag w:val="goog_rdk_25"/>
        </w:sdtPr>
        <w:sdtContent>
          <w:r>
            <w:rPr/>
          </w:r>
          <w:r>
            <w:rPr/>
          </w:r>
        </w:sdtContent>
      </w:sdt>
      <w:r>
        <w:rPr>
          <w:rFonts w:eastAsia="Times New Roman" w:cs="Times New Roman" w:ascii="Times New Roman" w:hAnsi="Times New Roman"/>
        </w:rPr>
        <w:t xml:space="preserve">Na wstępie wyjaśniam, że zdaję sobie sprawę z metrykalnego oznaczenia mojej płci jako męskiej, jednak wskazuję, że w codziennym życiu funkcjonuję jako kobieta. W związku z tym, że tożsamość płciowa jest jednym z dóbr osobistych człowieka, we wniosku będę używać żeńskich form gramatycznych. Jednocześnie wskazuję, że na co dzień używam imienia [...]. </w:t>
      </w:r>
      <w:commentRangeEnd w:id="23"/>
      <w:r>
        <w:commentReference w:id="23"/>
      </w:r>
      <w:r>
        <w:rPr>
          <w:rFonts w:eastAsia="Times New Roman" w:cs="Times New Roman" w:ascii="Times New Roman" w:hAnsi="Times New Roman"/>
        </w:rPr>
      </w:r>
    </w:p>
    <w:p>
      <w:pPr>
        <w:pStyle w:val="normal1"/>
        <w:jc w:val="both"/>
        <w:rPr>
          <w:rFonts w:ascii="Times New Roman" w:hAnsi="Times New Roman" w:eastAsia="Times New Roman" w:cs="Times New Roman"/>
        </w:rPr>
      </w:pPr>
      <w:r>
        <w:rPr>
          <w:rFonts w:eastAsia="Times New Roman" w:cs="Times New Roman" w:ascii="Times New Roman" w:hAnsi="Times New Roman"/>
        </w:rPr>
      </w:r>
    </w:p>
    <w:p>
      <w:pPr>
        <w:pStyle w:val="normal1"/>
        <w:jc w:val="center"/>
        <w:rPr>
          <w:rFonts w:ascii="Times New Roman" w:hAnsi="Times New Roman" w:eastAsia="Times New Roman" w:cs="Times New Roman"/>
          <w:b/>
        </w:rPr>
      </w:pPr>
      <w:r>
        <w:rPr>
          <w:rFonts w:eastAsia="Times New Roman" w:cs="Times New Roman" w:ascii="Times New Roman" w:hAnsi="Times New Roman"/>
          <w:b/>
        </w:rPr>
        <w:t>Uzasadnienie</w:t>
      </w:r>
    </w:p>
    <w:p>
      <w:pPr>
        <w:pStyle w:val="normal1"/>
        <w:jc w:val="center"/>
        <w:rPr>
          <w:rFonts w:ascii="Times New Roman" w:hAnsi="Times New Roman" w:eastAsia="Times New Roman" w:cs="Times New Roman"/>
        </w:rPr>
      </w:pPr>
      <w:r>
        <w:rPr>
          <w:rFonts w:eastAsia="Times New Roman" w:cs="Times New Roman" w:ascii="Times New Roman" w:hAnsi="Times New Roman"/>
        </w:rPr>
      </w:r>
    </w:p>
    <w:p>
      <w:pPr>
        <w:pStyle w:val="normal1"/>
        <w:jc w:val="both"/>
        <w:rPr>
          <w:rFonts w:ascii="Times New Roman" w:hAnsi="Times New Roman" w:eastAsia="Times New Roman" w:cs="Times New Roman"/>
          <w:b/>
        </w:rPr>
      </w:pPr>
      <w:commentRangeStart w:id="24"/>
      <w:sdt>
        <w:sdtPr>
          <w:tag w:val="goog_rdk_26"/>
        </w:sdtPr>
        <w:sdtContent>
          <w:r>
            <w:rPr/>
          </w:r>
          <w:r>
            <w:rPr/>
          </w:r>
        </w:sdtContent>
      </w:sdt>
      <w:r>
        <w:rPr>
          <w:rFonts w:eastAsia="Times New Roman" w:cs="Times New Roman" w:ascii="Times New Roman" w:hAnsi="Times New Roman"/>
          <w:b/>
        </w:rPr>
        <w:t>TWIERDZENIA FAKTYCZNE</w:t>
      </w:r>
      <w:commentRangeEnd w:id="24"/>
      <w:r>
        <w:commentReference w:id="24"/>
      </w:r>
      <w:r>
        <w:rPr>
          <w:rFonts w:eastAsia="Times New Roman" w:cs="Times New Roman" w:ascii="Times New Roman" w:hAnsi="Times New Roman"/>
          <w:b/>
        </w:rPr>
      </w:r>
    </w:p>
    <w:p>
      <w:pPr>
        <w:pStyle w:val="normal1"/>
        <w:jc w:val="both"/>
        <w:rPr>
          <w:rFonts w:ascii="Times New Roman" w:hAnsi="Times New Roman" w:eastAsia="Times New Roman" w:cs="Times New Roman"/>
        </w:rPr>
      </w:pPr>
      <w:r>
        <w:rPr>
          <w:rFonts w:eastAsia="Times New Roman" w:cs="Times New Roman" w:ascii="Times New Roman" w:hAnsi="Times New Roman"/>
        </w:rPr>
      </w:r>
    </w:p>
    <w:p>
      <w:pPr>
        <w:pStyle w:val="normal1"/>
        <w:jc w:val="both"/>
        <w:rPr>
          <w:rFonts w:ascii="Times New Roman" w:hAnsi="Times New Roman" w:eastAsia="Times New Roman" w:cs="Times New Roman"/>
        </w:rPr>
      </w:pPr>
      <w:r>
        <w:rPr>
          <w:rFonts w:eastAsia="Times New Roman" w:cs="Times New Roman" w:ascii="Times New Roman" w:hAnsi="Times New Roman"/>
        </w:rPr>
        <w:t xml:space="preserve">Kierownik Urzędu Stanu Cywilnego w </w:t>
      </w:r>
      <w:commentRangeStart w:id="25"/>
      <w:sdt>
        <w:sdtPr>
          <w:tag w:val="goog_rdk_27"/>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w:t>
      </w:r>
      <w:r>
        <w:rPr>
          <w:rFonts w:eastAsia="Times New Roman" w:cs="Times New Roman" w:ascii="Times New Roman" w:hAnsi="Times New Roman"/>
        </w:rPr>
      </w:r>
      <w:commentRangeEnd w:id="25"/>
      <w:r>
        <w:commentReference w:id="25"/>
      </w:r>
      <w:r>
        <w:rPr>
          <w:rFonts w:eastAsia="Times New Roman" w:cs="Times New Roman" w:ascii="Times New Roman" w:hAnsi="Times New Roman"/>
        </w:rPr>
        <w:t xml:space="preserve"> zarejestrował moje urodzenie w dniu </w:t>
      </w:r>
      <w:commentRangeStart w:id="26"/>
      <w:sdt>
        <w:sdtPr>
          <w:tag w:val="goog_rdk_28"/>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w:t>
      </w:r>
      <w:r>
        <w:rPr>
          <w:rFonts w:eastAsia="Times New Roman" w:cs="Times New Roman" w:ascii="Times New Roman" w:hAnsi="Times New Roman"/>
        </w:rPr>
        <w:t xml:space="preserve"> </w:t>
      </w:r>
      <w:r>
        <w:rPr>
          <w:rFonts w:eastAsia="Times New Roman" w:cs="Times New Roman" w:ascii="Times New Roman" w:hAnsi="Times New Roman"/>
        </w:rPr>
      </w:r>
      <w:commentRangeEnd w:id="26"/>
      <w:r>
        <w:commentReference w:id="26"/>
      </w:r>
      <w:r>
        <w:rPr>
          <w:rFonts w:eastAsia="Times New Roman" w:cs="Times New Roman" w:ascii="Times New Roman" w:hAnsi="Times New Roman"/>
        </w:rPr>
        <w:t xml:space="preserve">w akcie o numerze </w:t>
      </w:r>
      <w:commentRangeStart w:id="27"/>
      <w:sdt>
        <w:sdtPr>
          <w:tag w:val="goog_rdk_29"/>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w:t>
      </w:r>
      <w:r>
        <w:rPr>
          <w:rFonts w:eastAsia="Times New Roman" w:cs="Times New Roman" w:ascii="Times New Roman" w:hAnsi="Times New Roman"/>
        </w:rPr>
        <w:t>.</w:t>
      </w:r>
      <w:r>
        <w:rPr>
          <w:rFonts w:eastAsia="Times New Roman" w:cs="Times New Roman" w:ascii="Times New Roman" w:hAnsi="Times New Roman"/>
        </w:rPr>
      </w:r>
      <w:commentRangeEnd w:id="27"/>
      <w:r>
        <w:commentReference w:id="27"/>
      </w:r>
      <w:r>
        <w:rPr>
          <w:rFonts w:eastAsia="Times New Roman" w:cs="Times New Roman" w:ascii="Times New Roman" w:hAnsi="Times New Roman"/>
        </w:rPr>
        <w:t xml:space="preserve"> Moja płeć została tam oznaczona jako męska, w oparciu o ocenę mojej budowy anatomicznej przez personel medyczny. Nadano mi imię/imiona </w:t>
      </w:r>
      <w:commentRangeStart w:id="28"/>
      <w:sdt>
        <w:sdtPr>
          <w:tag w:val="goog_rdk_30"/>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w:t>
      </w:r>
      <w:r>
        <w:rPr>
          <w:rFonts w:eastAsia="Times New Roman" w:cs="Times New Roman" w:ascii="Times New Roman" w:hAnsi="Times New Roman"/>
        </w:rPr>
      </w:r>
      <w:commentRangeEnd w:id="28"/>
      <w:r>
        <w:commentReference w:id="28"/>
      </w:r>
      <w:r>
        <w:rPr>
          <w:rFonts w:eastAsia="Times New Roman" w:cs="Times New Roman" w:ascii="Times New Roman" w:hAnsi="Times New Roman"/>
        </w:rPr>
        <w:t>].</w:t>
      </w:r>
    </w:p>
    <w:p>
      <w:pPr>
        <w:pStyle w:val="normal1"/>
        <w:jc w:val="both"/>
        <w:rPr>
          <w:rFonts w:ascii="Times New Roman" w:hAnsi="Times New Roman" w:eastAsia="Times New Roman" w:cs="Times New Roman"/>
        </w:rPr>
      </w:pPr>
      <w:r>
        <w:rPr>
          <w:rFonts w:eastAsia="Times New Roman" w:cs="Times New Roman" w:ascii="Times New Roman" w:hAnsi="Times New Roman"/>
        </w:rPr>
      </w:r>
    </w:p>
    <w:p>
      <w:pPr>
        <w:pStyle w:val="normal1"/>
        <w:jc w:val="both"/>
        <w:rPr>
          <w:rFonts w:ascii="Times New Roman" w:hAnsi="Times New Roman" w:eastAsia="Times New Roman" w:cs="Times New Roman"/>
          <w:i/>
        </w:rPr>
      </w:pPr>
      <w:r>
        <w:rPr>
          <w:rFonts w:eastAsia="Times New Roman" w:cs="Times New Roman" w:ascii="Times New Roman" w:hAnsi="Times New Roman"/>
          <w:i/>
        </w:rPr>
        <w:t>Dowód:</w:t>
        <w:tab/>
        <w:t xml:space="preserve"> odpis aktu urodzenia</w:t>
      </w:r>
    </w:p>
    <w:p>
      <w:pPr>
        <w:pStyle w:val="normal1"/>
        <w:jc w:val="both"/>
        <w:rPr>
          <w:rFonts w:ascii="Times New Roman" w:hAnsi="Times New Roman" w:eastAsia="Times New Roman" w:cs="Times New Roman"/>
          <w:i/>
        </w:rPr>
      </w:pPr>
      <w:r>
        <w:rPr>
          <w:rFonts w:eastAsia="Times New Roman" w:cs="Times New Roman" w:ascii="Times New Roman" w:hAnsi="Times New Roman"/>
          <w:i/>
        </w:rPr>
      </w:r>
    </w:p>
    <w:p>
      <w:pPr>
        <w:pStyle w:val="normal1"/>
        <w:jc w:val="both"/>
        <w:rPr>
          <w:rFonts w:ascii="Times New Roman" w:hAnsi="Times New Roman" w:eastAsia="Times New Roman" w:cs="Times New Roman"/>
        </w:rPr>
      </w:pPr>
      <w:commentRangeStart w:id="29"/>
      <w:sdt>
        <w:sdtPr>
          <w:tag w:val="goog_rdk_31"/>
        </w:sdtPr>
        <w:sdtContent>
          <w:r>
            <w:rPr/>
          </w:r>
          <w:r>
            <w:rPr/>
          </w:r>
        </w:sdtContent>
      </w:sdt>
      <w:r>
        <w:rPr>
          <w:rFonts w:eastAsia="Times New Roman" w:cs="Times New Roman" w:ascii="Times New Roman" w:hAnsi="Times New Roman"/>
        </w:rPr>
        <w:t xml:space="preserve">Około [...] roku życia zaczęło pojawiać się u mnie poczucie rozbieżności pomiędzy płcią przypisaną mi przy urodzeniu a moją tożsamością płciową. Doprowadziło to do wykształcenia się u mnie dysforii, której towarzyszyło obniżenie nastroju. </w:t>
      </w:r>
      <w:commentRangeEnd w:id="29"/>
      <w:r>
        <w:commentReference w:id="29"/>
      </w:r>
      <w:r>
        <w:rPr>
          <w:rFonts w:eastAsia="Times New Roman" w:cs="Times New Roman" w:ascii="Times New Roman" w:hAnsi="Times New Roman"/>
        </w:rPr>
      </w:r>
    </w:p>
    <w:p>
      <w:pPr>
        <w:pStyle w:val="normal1"/>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t xml:space="preserve">U osób transpłciowych występuje niezgodność pomiędzy płcią przypisaną przy urodzeniu a tożsamością płciową, czyli głębokim wewnętrznym przeżywaniem własnej płci. Ta rozbieżność może prowadzić do dysforii, czyli uczucia dyskomfortu wynikającego z rozdźwięku pomiędzy różnymi aspektami naszej płci (cechami płciowymi naszego ciała, tym jak wyglądamy, tym jak odbierają nas inni). Nasilona dysforia może wiązać się z poważnymi negatywnymi skutkami dla zdrowia psychicznego osoby transpłciowej. Formalnie u osób transpłciowych diagnozuje się „transseksualizm” według nomenklatury ICD-10 (F64.0). Według najnowszej nomenklatury ICD-11, nie wszędzie jeszcze wdrożonej, formalnie diagnozuje się „niezgodność płciową” (HA60), którą zdefiniowano jako utrzymującą się wyraźną niezgodność między doświadczaną przez osobę płcią oraz płcią przypisaną. Stan „niezgodności płciowej” został wyjęty z obszaru dotyczącego zaburzeń psychicznych, a przeniesiony do obszaru dotyczącego zdrowia seksualnego. Sama transpłciowość w tym ujęciu nie jest już stanem „patologicznym”, „chorobą” czy „zaburzeniem”. Po uzgodnieniu płci w toku tranzycji medycznej i/lub społecznej, w tym prawnej, niezgodność ta zanika. </w:t>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i/>
        </w:rPr>
      </w:pPr>
      <w:r>
        <w:rPr>
          <w:rFonts w:eastAsia="Times New Roman" w:cs="Times New Roman" w:ascii="Times New Roman" w:hAnsi="Times New Roman"/>
        </w:rPr>
        <w:t xml:space="preserve">W związku z głęboko przeżywanym poczuciem identyfikacji z płcią żeńską i występującą jednocześnie dysforią, rozpoczęłam formalną diagnostykę u lekarzy specjalistów,  w wyniku której otrzymałam </w:t>
      </w:r>
      <w:commentRangeStart w:id="30"/>
      <w:sdt>
        <w:sdtPr>
          <w:tag w:val="goog_rdk_32"/>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diagnozę transseksualizmu (F64.0) / niezgodności płciowej (HA60).</w:t>
      </w:r>
      <w:r>
        <w:rPr>
          <w:rFonts w:eastAsia="Times New Roman" w:cs="Times New Roman" w:ascii="Times New Roman" w:hAnsi="Times New Roman"/>
        </w:rPr>
        <w:t xml:space="preserve"> </w:t>
      </w:r>
      <w:r>
        <w:rPr>
          <w:rFonts w:eastAsia="Times New Roman" w:cs="Times New Roman" w:ascii="Times New Roman" w:hAnsi="Times New Roman"/>
        </w:rPr>
      </w:r>
      <w:commentRangeEnd w:id="30"/>
      <w:r>
        <w:commentReference w:id="30"/>
      </w:r>
      <w:r>
        <w:rPr>
          <w:rFonts w:eastAsia="Times New Roman" w:cs="Times New Roman" w:ascii="Times New Roman" w:hAnsi="Times New Roman"/>
        </w:rPr>
        <w:t xml:space="preserve">Proces diagnostyczny został przeprowadzony </w:t>
      </w:r>
      <w:commentRangeStart w:id="31"/>
      <w:sdt>
        <w:sdtPr>
          <w:tag w:val="goog_rdk_33"/>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 xml:space="preserve">przez lekarza psychiatrę/seksuologa/psychiatrę-seksuologa oraz przez psychologa, </w:t>
      </w:r>
      <w:r>
        <w:rPr>
          <w:rFonts w:eastAsia="Times New Roman" w:cs="Times New Roman" w:ascii="Times New Roman" w:hAnsi="Times New Roman"/>
        </w:rPr>
      </w:r>
      <w:commentRangeEnd w:id="31"/>
      <w:r>
        <w:commentReference w:id="31"/>
      </w:r>
      <w:r>
        <w:rPr>
          <w:rFonts w:eastAsia="Times New Roman" w:cs="Times New Roman" w:ascii="Times New Roman" w:hAnsi="Times New Roman"/>
        </w:rPr>
        <w:t xml:space="preserve">zgodnie z wytycznymi Polskiego Towarzystwa Seksuologicznego. W toku tego procesu przekazano mi wszystkie informacje niezbędne do wyrażenia przeze mnie świadomej zgody na wdrożenie leczenia hormonalnego, a także wykluczono wtórne (np. wynikające z zaburzeń psychicznych) pochodzenie dysforii płciowej / niezgodności płciowej. Specjaliści przeprowadzili podmiotowe badania psychologiczne, wywiad i </w:t>
      </w:r>
      <w:commentRangeStart w:id="32"/>
      <w:sdt>
        <w:sdtPr>
          <w:tag w:val="goog_rdk_34"/>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diagnostykę opartę o specjalistyczne, standaryzowane narzędzia</w:t>
      </w:r>
      <w:r>
        <w:rPr>
          <w:rFonts w:eastAsia="Times New Roman" w:cs="Times New Roman" w:ascii="Times New Roman" w:hAnsi="Times New Roman"/>
        </w:rPr>
      </w:r>
      <w:commentRangeEnd w:id="32"/>
      <w:r>
        <w:commentReference w:id="32"/>
      </w:r>
      <w:r>
        <w:rPr>
          <w:rFonts w:eastAsia="Times New Roman" w:cs="Times New Roman" w:ascii="Times New Roman" w:hAnsi="Times New Roman"/>
        </w:rPr>
        <w:t>. Proces ten pozwolił na stwierdzenie, że występująca u mnie niezgodność płci jest trwała. W opinii psychologicznej zwrócono uwagę, że brak tranzycji medycznej i prawnej przyczynia się do trudności w obszarze zdrowia psychicznego i zarekomendowano dalszą prawną zmianę oznaczenia płci celem poprawy mojego funkcjonowania.</w:t>
      </w:r>
    </w:p>
    <w:p>
      <w:pPr>
        <w:pStyle w:val="normal1"/>
        <w:spacing w:lineRule="auto" w:line="276"/>
        <w:ind w:hanging="0" w:left="0"/>
        <w:jc w:val="both"/>
        <w:rPr>
          <w:rFonts w:ascii="Times New Roman" w:hAnsi="Times New Roman" w:eastAsia="Times New Roman" w:cs="Times New Roman"/>
          <w:i/>
        </w:rPr>
      </w:pPr>
      <w:r>
        <w:rPr>
          <w:rFonts w:eastAsia="Times New Roman" w:cs="Times New Roman" w:ascii="Times New Roman" w:hAnsi="Times New Roman"/>
          <w:i/>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t>Od</w:t>
      </w:r>
      <w:commentRangeStart w:id="33"/>
      <w:sdt>
        <w:sdtPr>
          <w:tag w:val="goog_rdk_35"/>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 xml:space="preserve"> </w:t>
      </w:r>
      <w:r>
        <w:rPr>
          <w:rFonts w:eastAsia="Times New Roman" w:cs="Times New Roman" w:ascii="Times New Roman" w:hAnsi="Times New Roman"/>
        </w:rPr>
        <w:t>[...]</w:t>
      </w:r>
      <w:r>
        <w:rPr>
          <w:rFonts w:eastAsia="Times New Roman" w:cs="Times New Roman" w:ascii="Times New Roman" w:hAnsi="Times New Roman"/>
        </w:rPr>
      </w:r>
      <w:commentRangeEnd w:id="33"/>
      <w:r>
        <w:commentReference w:id="33"/>
      </w:r>
      <w:r>
        <w:rPr>
          <w:rFonts w:eastAsia="Times New Roman" w:cs="Times New Roman" w:ascii="Times New Roman" w:hAnsi="Times New Roman"/>
        </w:rPr>
        <w:t xml:space="preserve"> wdrożono u mnie leczenie hormonalne. To oznacza, że przyjmuję hormony, których celem jest feminizacja mojego ciała. Zmiany, które temu towarzyszą, są przeze mnie odbierane pozytywnie.</w:t>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t xml:space="preserve">W sferze społecznej </w:t>
      </w:r>
      <w:commentRangeStart w:id="34"/>
      <w:sdt>
        <w:sdtPr>
          <w:tag w:val="goog_rdk_36"/>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 xml:space="preserve">w większości </w:t>
      </w:r>
      <w:r>
        <w:rPr>
          <w:rFonts w:eastAsia="Times New Roman" w:cs="Times New Roman" w:ascii="Times New Roman" w:hAnsi="Times New Roman"/>
        </w:rPr>
        <w:t>obszarów / w niektórych obszarach</w:t>
      </w:r>
      <w:r>
        <w:rPr>
          <w:rFonts w:eastAsia="Times New Roman" w:cs="Times New Roman" w:ascii="Times New Roman" w:hAnsi="Times New Roman"/>
        </w:rPr>
      </w:r>
      <w:commentRangeEnd w:id="34"/>
      <w:r>
        <w:commentReference w:id="34"/>
      </w:r>
      <w:r>
        <w:rPr>
          <w:rFonts w:eastAsia="Times New Roman" w:cs="Times New Roman" w:ascii="Times New Roman" w:hAnsi="Times New Roman"/>
        </w:rPr>
        <w:t xml:space="preserve"> funkcjonuję zgodnie z moją żeńską tożsamością płciową. Moja rodzina, osoby bliskie, koledzy i koleżanki ze szkoły/studiów/pracy, znają mnie jako </w:t>
      </w:r>
      <w:commentRangeStart w:id="35"/>
      <w:sdt>
        <w:sdtPr>
          <w:tag w:val="goog_rdk_37"/>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w:t>
      </w:r>
      <w:r>
        <w:rPr>
          <w:rFonts w:eastAsia="Times New Roman" w:cs="Times New Roman" w:ascii="Times New Roman" w:hAnsi="Times New Roman"/>
        </w:rPr>
      </w:r>
      <w:commentRangeEnd w:id="35"/>
      <w:r>
        <w:commentReference w:id="35"/>
      </w:r>
      <w:r>
        <w:rPr>
          <w:rFonts w:eastAsia="Times New Roman" w:cs="Times New Roman" w:ascii="Times New Roman" w:hAnsi="Times New Roman"/>
        </w:rPr>
        <w:t xml:space="preserve"> i używają wobec mnie żeńskich form gramatycznych. </w:t>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t xml:space="preserve">Brak zmiany oznaczenia płci oraz imienia powoduje u mnie duże trudności w codziennym funkcjonowaniu. We wszystkich przypadkach w których muszę używać danych zawartych w akcie urodzenia lub okazywać dowód tożsamości, moja tożsamość jest kwestionowana z uwagi na wygląd, odpowiadający typowym wyobrażeniom o kobiecym wyglądzie. Zmusza mnie to też do ujawniania osobom postronnym, że jestem osobą transpłciową, co głęboko ingeruje w moją prywatność i pozbawia mnie szansy na decydowanie o tym, kto będzie wiedzieć o mojej transpłciowości. Brak zmiany oznaczenia płci pozbawia mnie więc sprawczości i decyzyjności w jednym z kluczowych aspektów mojego życia. Co więcej, brak zmiany danych wpływa też na możliwość podjęcia dalszych kroków w tranzycji medycznej. Utrudnia też znalezienie i utrzymanie pracy. Osoby transpłciowe są grupą najczęściej dyskryminowaną na rynku pracy wśród społeczności LGBT+. Dopóki moje dane metrykalne są inne niż zgodne z moją tożsamością płciową, jestem nieustannie zmuszona do ujawniania pracodawcom swojej tożsamości, co obniża szansę na bycie zatrudnioną. </w:t>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t xml:space="preserve">Powyższe okoliczności wskazują jednoznacznie, że w moim przypadku poczucie przynależności do płci żeńskiej jest trwałe i że uwzględnienie niniejszego wniosku jest uzasadnione. </w:t>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b/>
        </w:rPr>
      </w:pPr>
      <w:commentRangeStart w:id="36"/>
      <w:r>
        <w:rPr>
          <w:rFonts w:eastAsia="Times New Roman" w:cs="Times New Roman" w:ascii="Times New Roman" w:hAnsi="Times New Roman"/>
          <w:b/>
        </w:rPr>
        <w:t>STAN PRAWNY</w:t>
      </w:r>
      <w:commentRangeEnd w:id="36"/>
      <w:r>
        <w:commentReference w:id="36"/>
      </w:r>
      <w:r>
        <w:rPr>
          <w:rFonts w:eastAsia="Times New Roman" w:cs="Times New Roman" w:ascii="Times New Roman" w:hAnsi="Times New Roman"/>
          <w:b/>
        </w:rPr>
      </w:r>
    </w:p>
    <w:p>
      <w:pPr>
        <w:pStyle w:val="normal1"/>
        <w:spacing w:lineRule="auto" w:line="276"/>
        <w:ind w:hanging="0" w:left="0"/>
        <w:jc w:val="both"/>
        <w:rPr>
          <w:rFonts w:ascii="Times New Roman" w:hAnsi="Times New Roman" w:eastAsia="Times New Roman" w:cs="Times New Roman"/>
          <w:b/>
        </w:rPr>
      </w:pPr>
      <w:r>
        <w:rPr>
          <w:rFonts w:eastAsia="Times New Roman" w:cs="Times New Roman" w:ascii="Times New Roman" w:hAnsi="Times New Roman"/>
          <w:b/>
        </w:rPr>
      </w:r>
    </w:p>
    <w:p>
      <w:pPr>
        <w:pStyle w:val="normal1"/>
        <w:numPr>
          <w:ilvl w:val="0"/>
          <w:numId w:val="3"/>
        </w:numPr>
        <w:spacing w:lineRule="auto" w:line="240" w:before="0" w:after="200"/>
        <w:ind w:hanging="360" w:left="720"/>
        <w:jc w:val="both"/>
        <w:rPr>
          <w:rFonts w:ascii="Times New Roman" w:hAnsi="Times New Roman" w:eastAsia="Times New Roman" w:cs="Times New Roman"/>
          <w:b/>
        </w:rPr>
      </w:pPr>
      <w:r>
        <w:rPr>
          <w:rFonts w:eastAsia="Times New Roman" w:cs="Times New Roman" w:ascii="Times New Roman" w:hAnsi="Times New Roman"/>
          <w:b/>
        </w:rPr>
        <w:t>D</w:t>
      </w:r>
      <w:sdt>
        <w:sdtPr>
          <w:tag w:val="goog_rdk_38"/>
        </w:sdtPr>
        <w:sdtContent>
          <w:r>
            <w:rPr>
              <w:rFonts w:eastAsia="Times New Roman" w:cs="Times New Roman" w:ascii="Times New Roman" w:hAnsi="Times New Roman"/>
              <w:b/>
            </w:rPr>
          </w:r>
          <w:r>
            <w:rPr>
              <w:rFonts w:eastAsia="Times New Roman" w:cs="Times New Roman" w:ascii="Times New Roman" w:hAnsi="Times New Roman"/>
              <w:b/>
            </w:rPr>
          </w:r>
        </w:sdtContent>
      </w:sdt>
      <w:r>
        <w:rPr>
          <w:rFonts w:eastAsia="Times New Roman" w:cs="Times New Roman" w:ascii="Times New Roman" w:hAnsi="Times New Roman"/>
          <w:b/>
        </w:rPr>
        <w:t>opuszczalność wniosku o sprostowanie aktu urodzenia w trybie nieprocesowym i możliwość korzystania z dotychczasowej praktyki sądów okręgowych w sprawach o ustalenie płci w zakresie postępowania dowodowego</w:t>
      </w:r>
      <w:r>
        <w:rPr>
          <w:rFonts w:eastAsia="Times New Roman" w:cs="Times New Roman" w:ascii="Times New Roman" w:hAnsi="Times New Roman"/>
          <w:b/>
        </w:rPr>
        <w:t>.</w:t>
      </w:r>
    </w:p>
    <w:p>
      <w:pPr>
        <w:pStyle w:val="normal1"/>
        <w:spacing w:lineRule="auto" w:line="276"/>
        <w:ind w:hanging="0" w:left="720"/>
        <w:jc w:val="both"/>
        <w:rPr>
          <w:rFonts w:ascii="Times New Roman" w:hAnsi="Times New Roman" w:eastAsia="Times New Roman" w:cs="Times New Roman"/>
          <w:b/>
        </w:rPr>
      </w:pPr>
      <w:r>
        <w:rPr>
          <w:rFonts w:eastAsia="Times New Roman" w:cs="Times New Roman" w:ascii="Times New Roman" w:hAnsi="Times New Roman"/>
          <w:b/>
        </w:rPr>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Tak zwana. tranzycja prawna dokonuje się w Polsce w oparciu o orzecznictwo Sądu Najwyższego. Kwestia ta, związana również z ewolucją orzecznictwa SN, została szczegółowo wyjaśniona w załączonym do wniosku przewodniku biura RPO.</w:t>
      </w:r>
    </w:p>
    <w:p>
      <w:pPr>
        <w:pStyle w:val="normal1"/>
        <w:ind w:hanging="0" w:left="420"/>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Przed 22 czerwca 1989 r., kiedy to Sąd Najwyższy wydał uchwałę w sprawie III CZP 37/89, korekta oznaczenia płci w akcie urodzenia dokonywana była w postępowaniu o sprostowanie aktu urodzenia. We wspomnianej uchwale SN wykluczył taką procedurę, ale dla samej doktryny i orzecznictwa było oczywiste, że sama możliwość korekty oznaczenia płci powinna istnieć. Dyskusyjna była jedynie podstawa prawna. Warto przy tym podkreślić, że uchwała SN z 1989 r. zapadła w innym stanie prawnym, gdy brzmienie przepisu dotyczącego aktu urodzenia wskazywało, że sprostować można tylko dane, które w momencie sporządzenia aktu były wpisane nieprawidłowo.</w:t>
      </w:r>
    </w:p>
    <w:p>
      <w:pPr>
        <w:pStyle w:val="normal1"/>
        <w:ind w:hanging="0" w:left="420"/>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 xml:space="preserve">W postanowieniu z 22 marca 1991 r. (sygn. akt III CRN 28/91) Sąd Najwyższy uznał, że </w:t>
      </w:r>
      <w:r>
        <w:rPr>
          <w:rFonts w:eastAsia="Times New Roman" w:cs="Times New Roman" w:ascii="Times New Roman" w:hAnsi="Times New Roman"/>
          <w:b/>
        </w:rPr>
        <w:t>poczucie przynależności do danej płci jest dobrem osobistym w rozumieniu art. 23 k.c.</w:t>
      </w:r>
      <w:r>
        <w:rPr>
          <w:rFonts w:eastAsia="Times New Roman" w:cs="Times New Roman" w:ascii="Times New Roman" w:hAnsi="Times New Roman"/>
        </w:rPr>
        <w:t xml:space="preserve">i można dochodzić jego ochrony w trybie procesowym. W orzeczeniu tym SN przesądził też, że właściwym trybem dochodzenia korekty aktu urodzenia jest pozew o ustalenie, oparty o art. 189 k.p.c. w zw. z art. 23 k.c., </w:t>
      </w:r>
      <w:r>
        <w:rPr>
          <w:rFonts w:eastAsia="Times New Roman" w:cs="Times New Roman" w:ascii="Times New Roman" w:hAnsi="Times New Roman"/>
          <w:b/>
        </w:rPr>
        <w:t>którego przesłanką jest stwierdzenie trwałości poczucia przynależności do danej płci</w:t>
      </w:r>
      <w:r>
        <w:rPr>
          <w:rFonts w:eastAsia="Times New Roman" w:cs="Times New Roman" w:ascii="Times New Roman" w:hAnsi="Times New Roman"/>
        </w:rPr>
        <w:t xml:space="preserve">. W kolejnych orzeczeniach SN uzupełniał luki procedury, m.in. wypowiadając się o legitymacji biernej w sytuacji, gdy w sprawie nie ma rodziców czy o posiadaniu (lub nie) interesu prawnego w rozstrzygnięciu. Procedura była jednak co do zasady niekwestionowana. </w:t>
      </w:r>
    </w:p>
    <w:p>
      <w:pPr>
        <w:pStyle w:val="normal1"/>
        <w:ind w:hanging="0" w:left="420"/>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4 marca 2025 r. skład całej Izby Cywilnej Sądu Najwyższego w sprawie III CZP 6/24 podjął uchwałę o następującej treści:</w:t>
      </w:r>
    </w:p>
    <w:p>
      <w:pPr>
        <w:pStyle w:val="normal1"/>
        <w:spacing w:lineRule="auto" w:line="240" w:before="0" w:after="200"/>
        <w:ind w:hanging="0" w:left="720"/>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ind w:hanging="0" w:left="700"/>
        <w:jc w:val="both"/>
        <w:rPr>
          <w:rFonts w:ascii="Times New Roman" w:hAnsi="Times New Roman" w:eastAsia="Times New Roman" w:cs="Times New Roman"/>
          <w:i/>
        </w:rPr>
      </w:pPr>
      <w:r>
        <w:rPr>
          <w:rFonts w:eastAsia="Times New Roman" w:cs="Times New Roman" w:ascii="Times New Roman" w:hAnsi="Times New Roman"/>
          <w:i/>
        </w:rPr>
        <w:t xml:space="preserve">1. Żądanie zmiany oznaczenia płci w akcie urodzenia podlega rozpoznaniu przez sąd w postępowaniu nieprocesowym przy zastosowaniu w drodze analogii art. 36 ustawy z dnia 28 listopada 2014 r. – Prawo o aktach stanu cywilnego. </w:t>
      </w:r>
    </w:p>
    <w:p>
      <w:pPr>
        <w:pStyle w:val="normal1"/>
        <w:ind w:hanging="0" w:left="700"/>
        <w:jc w:val="both"/>
        <w:rPr>
          <w:rFonts w:ascii="Times New Roman" w:hAnsi="Times New Roman" w:eastAsia="Times New Roman" w:cs="Times New Roman"/>
          <w:i/>
        </w:rPr>
      </w:pPr>
      <w:r>
        <w:rPr>
          <w:rFonts w:eastAsia="Times New Roman" w:cs="Times New Roman" w:ascii="Times New Roman" w:hAnsi="Times New Roman"/>
          <w:i/>
        </w:rPr>
        <w:t xml:space="preserve">2. Zmiana oznaczenia płci w akcie urodzenia może nastąpić wyłącznie na wniosek osoby, której dotyczy ten akt. </w:t>
      </w:r>
    </w:p>
    <w:p>
      <w:pPr>
        <w:pStyle w:val="normal1"/>
        <w:ind w:hanging="0" w:left="700"/>
        <w:jc w:val="both"/>
        <w:rPr>
          <w:rFonts w:ascii="Times New Roman" w:hAnsi="Times New Roman" w:eastAsia="Times New Roman" w:cs="Times New Roman"/>
          <w:i/>
        </w:rPr>
      </w:pPr>
      <w:r>
        <w:rPr>
          <w:rFonts w:eastAsia="Times New Roman" w:cs="Times New Roman" w:ascii="Times New Roman" w:hAnsi="Times New Roman"/>
          <w:i/>
        </w:rPr>
        <w:t xml:space="preserve">3. Oprócz wnioskodawcy uczestnikiem postępowania może być tylko jego małżonek (art. 510 k.p.c.). </w:t>
      </w:r>
    </w:p>
    <w:p>
      <w:pPr>
        <w:pStyle w:val="normal1"/>
        <w:ind w:hanging="0" w:left="700"/>
        <w:jc w:val="both"/>
        <w:rPr>
          <w:rFonts w:ascii="Times New Roman" w:hAnsi="Times New Roman" w:eastAsia="Times New Roman" w:cs="Times New Roman"/>
          <w:i/>
        </w:rPr>
      </w:pPr>
      <w:r>
        <w:rPr>
          <w:rFonts w:eastAsia="Times New Roman" w:cs="Times New Roman" w:ascii="Times New Roman" w:hAnsi="Times New Roman"/>
          <w:i/>
        </w:rPr>
        <w:t xml:space="preserve">4. Postanowienie uwzględniające wniosek wywołuje skutki od chwili uprawomocnienia się. </w:t>
      </w:r>
    </w:p>
    <w:p>
      <w:pPr>
        <w:pStyle w:val="normal1"/>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 xml:space="preserve">Tym samym SN </w:t>
      </w:r>
      <w:r>
        <w:rPr>
          <w:rFonts w:eastAsia="Times New Roman" w:cs="Times New Roman" w:ascii="Times New Roman" w:hAnsi="Times New Roman"/>
          <w:i/>
        </w:rPr>
        <w:t>de facto</w:t>
      </w:r>
      <w:r>
        <w:rPr>
          <w:rFonts w:eastAsia="Times New Roman" w:cs="Times New Roman" w:ascii="Times New Roman" w:hAnsi="Times New Roman"/>
        </w:rPr>
        <w:t xml:space="preserve"> powrócił do koncepcji obowiązującej przed 1989 r. W ustnym uzasadnieniu (do dnia złożenia wniosku nie opublikowano uzasadnienia na piśmie</w:t>
      </w:r>
      <w:r>
        <w:rPr>
          <w:rStyle w:val="FootnoteReference"/>
          <w:rFonts w:eastAsia="Times New Roman" w:cs="Times New Roman" w:ascii="Times New Roman" w:hAnsi="Times New Roman"/>
          <w:vertAlign w:val="superscript"/>
        </w:rPr>
        <w:footnoteReference w:id="2"/>
      </w:r>
      <w:r>
        <w:rPr>
          <w:rFonts w:eastAsia="Times New Roman" w:cs="Times New Roman" w:ascii="Times New Roman" w:hAnsi="Times New Roman"/>
        </w:rPr>
        <w:t xml:space="preserve">) Sąd Najwyższy zwrócił uwagę, że 28 listopada 2014 r. przyjęta została ustawa Prawo o aktach stanu cywilnego, która zmieniła podstawy i przesłanki sprostowania aktu urodzenia, a ponadto jednoznacznie określiła płeć człowieka jako element stanu cywilnego (art. 2 ust. 1 w zw. z art. 49 ust. 2 pkt. 1 p.a.s.c.). SN podkreślił, że wynik postępowania o zmianę oznaczenia płci dotyczy jedynie praw osobistych wnioskodawcy i podkreślił osobisty charakter tego typu spraw. Odnotował, że konstrukcja i mechanizmy trybu nieprocesowego w większym stopniu uwzględniają okoliczności ze sfery interesu publicznego, a także minimalizują wątpliwości odnoszące się do zagadnienia legitymacji procesowej. W szczególności przejście do trybu nieprocesowego pozwala na ominięcie tworzenia „sztucznego” pozwanego (o którym mówił SN m.in. w wyroku z 2019 r.), a także pozwala na skorzystanie gwarantowanej przez p.a.s.c. skuteczności </w:t>
      </w:r>
      <w:r>
        <w:rPr>
          <w:rFonts w:eastAsia="Times New Roman" w:cs="Times New Roman" w:ascii="Times New Roman" w:hAnsi="Times New Roman"/>
          <w:i/>
        </w:rPr>
        <w:t>erga omnes</w:t>
      </w:r>
      <w:r>
        <w:rPr>
          <w:rFonts w:eastAsia="Times New Roman" w:cs="Times New Roman" w:ascii="Times New Roman" w:hAnsi="Times New Roman"/>
        </w:rPr>
        <w:t xml:space="preserve"> wydanego rozstrzygnięcia.</w:t>
      </w:r>
    </w:p>
    <w:p>
      <w:pPr>
        <w:pStyle w:val="normal1"/>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Choć wydanie powyższej uchwały wywołało kontrowersje i niepewność, zwłaszcza wobec faktu, że w składzie wydającym uchwałę zasiadali sędziowie powołani na stanowisko sędziego przez Krajową Radę Sądownictwa ukształtowaną na podstawie przepisów ustawy z dnia 8 grudnia 2017 r. o zmianie ustawy o Krajowej Radzie Sądownictwa</w:t>
      </w:r>
      <w:r>
        <w:rPr>
          <w:rStyle w:val="FootnoteReference"/>
          <w:rFonts w:eastAsia="Times New Roman" w:cs="Times New Roman" w:ascii="Times New Roman" w:hAnsi="Times New Roman"/>
          <w:vertAlign w:val="superscript"/>
        </w:rPr>
        <w:footnoteReference w:id="3"/>
      </w:r>
      <w:r>
        <w:rPr>
          <w:rFonts w:eastAsia="Times New Roman" w:cs="Times New Roman" w:ascii="Times New Roman" w:hAnsi="Times New Roman"/>
        </w:rPr>
        <w:t xml:space="preserve">, </w:t>
      </w:r>
      <w:r>
        <w:rPr>
          <w:rFonts w:eastAsia="Times New Roman" w:cs="Times New Roman" w:ascii="Times New Roman" w:hAnsi="Times New Roman"/>
          <w:b/>
        </w:rPr>
        <w:t>bez względu na to, czy uchwałę należy uznawać za ważną czy nie, należy co do zasady uznać słuszność rozumowania SN</w:t>
      </w:r>
      <w:r>
        <w:rPr>
          <w:rFonts w:eastAsia="Times New Roman" w:cs="Times New Roman" w:ascii="Times New Roman" w:hAnsi="Times New Roman"/>
        </w:rPr>
        <w:t>. W doktrynie i wśród praktyków od lat wskazywano, że uchwała z 1989 r. utrudniła, a nie uprościła postępowanie o zmianę oznaczenia płci i że jej treść wynikała przede wszystkim z ówczesnego brzmienia przepisów dotyczących sprostowania aktu urodzenia. Od lat podnoszono, że bardziej odpowiednim trybem byłby tryb nieprocesowy, który nie stawia konieczności spełniania sztucznego wymogu – istnienia strony pozwanej i pozywania rodziców. Uchwała SN słusznie podkreśla osobisty charakter spraw o zmianę oznaczenia płci i wskazuje na to, że płeć jest już jednoznacznie elementem prawa stanu. Należy więc aprobująco odnieść się do tezy, że zmiana oznaczenia płci powinna nastąpić w drodze wniosku o sprostowanie aktu urodzenia przy zastosowaniu w drodze analogii art. 36 p.a.s.c.</w:t>
      </w:r>
    </w:p>
    <w:p>
      <w:pPr>
        <w:pStyle w:val="normal1"/>
        <w:ind w:hanging="0" w:left="420"/>
        <w:jc w:val="both"/>
        <w:rPr>
          <w:rFonts w:ascii="Times New Roman" w:hAnsi="Times New Roman" w:eastAsia="Times New Roman" w:cs="Times New Roman"/>
        </w:rPr>
      </w:pPr>
      <w:r>
        <w:rPr>
          <w:rFonts w:eastAsia="Times New Roman" w:cs="Times New Roman" w:ascii="Times New Roman" w:hAnsi="Times New Roman"/>
        </w:rPr>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 xml:space="preserve">Za stosowaniem w drodze analogii postępowania o sprostowanie aktu urodzenia przemawia również międzynarodowy standard dotyczący procedury zmiany oznaczenia płci. Konieczność istnienia procedury pozwalającej na zmianę oznaczenia płci w akcie urodzenia i dokumentach, potwierdza m.in. orzecznictwo Europejskiego Trybunału Praw Człowieka. Wielka Izba Trybunału w sprawie Goodwin przeciwko Zjednoczonemu Królestwu (wyrok z 11 lipca 2022 r., skarga nr 28957/95) uznała, że państwa – strony EKPC – </w:t>
      </w:r>
      <w:r>
        <w:rPr>
          <w:rFonts w:eastAsia="Times New Roman" w:cs="Times New Roman" w:ascii="Times New Roman" w:hAnsi="Times New Roman"/>
          <w:b/>
        </w:rPr>
        <w:t>mają pozytywny obowiązek zapewnienia procedury prawnego uzgodnienia płci dla osoby transpłciowej</w:t>
      </w:r>
      <w:r>
        <w:rPr>
          <w:rFonts w:eastAsia="Times New Roman" w:cs="Times New Roman" w:ascii="Times New Roman" w:hAnsi="Times New Roman"/>
        </w:rPr>
        <w:t xml:space="preserve">. W kolejnych orzeczeniach Trybunał wskazywał na konieczność zapewnienia, by procedura ta była </w:t>
      </w:r>
      <w:r>
        <w:rPr>
          <w:rFonts w:eastAsia="Times New Roman" w:cs="Times New Roman" w:ascii="Times New Roman" w:hAnsi="Times New Roman"/>
          <w:b/>
        </w:rPr>
        <w:t>efektywna i łatwo dostępna (</w:t>
      </w:r>
      <w:r>
        <w:rPr>
          <w:rFonts w:eastAsia="Times New Roman" w:cs="Times New Roman" w:ascii="Times New Roman" w:hAnsi="Times New Roman"/>
        </w:rPr>
        <w:t xml:space="preserve">X przeciwko Byłej Jugosławiańskiej Republice Macedonii, wyrok z 17 kwietnia 2019 r., skarga nr 29683/16), </w:t>
      </w:r>
      <w:r>
        <w:rPr>
          <w:rFonts w:eastAsia="Times New Roman" w:cs="Times New Roman" w:ascii="Times New Roman" w:hAnsi="Times New Roman"/>
          <w:b/>
        </w:rPr>
        <w:t xml:space="preserve">szybka </w:t>
      </w:r>
      <w:r>
        <w:rPr>
          <w:rFonts w:eastAsia="Times New Roman" w:cs="Times New Roman" w:ascii="Times New Roman" w:hAnsi="Times New Roman"/>
        </w:rPr>
        <w:t>(w sprawie S.V. przeciwko Włochom okres 2 lat prowadzenia postępowania uznano za zbyt długi i naruszający art. 8 EKPC),</w:t>
      </w:r>
      <w:r>
        <w:rPr>
          <w:rFonts w:eastAsia="Times New Roman" w:cs="Times New Roman" w:ascii="Times New Roman" w:hAnsi="Times New Roman"/>
          <w:b/>
        </w:rPr>
        <w:t xml:space="preserve"> bez uzależnienia od wymogu kilkuletniego okresu obserwacji</w:t>
      </w:r>
      <w:r>
        <w:rPr>
          <w:rFonts w:eastAsia="Times New Roman" w:cs="Times New Roman" w:ascii="Times New Roman" w:hAnsi="Times New Roman"/>
        </w:rPr>
        <w:t xml:space="preserve"> (Schlumpf przeciwko Szwajcarii, wyrok z 8 stycznia 2009 r., skarga nr 29002/06). </w:t>
      </w:r>
      <w:r>
        <w:rPr>
          <w:rFonts w:eastAsia="Times New Roman" w:cs="Times New Roman" w:ascii="Times New Roman" w:hAnsi="Times New Roman"/>
          <w:b/>
        </w:rPr>
        <w:t>Nie można również wprowadzać wymogu przechodzenia określonych zabiegów medycznych, w tym chirurgicznych</w:t>
      </w:r>
      <w:r>
        <w:rPr>
          <w:rFonts w:eastAsia="Times New Roman" w:cs="Times New Roman" w:ascii="Times New Roman" w:hAnsi="Times New Roman"/>
        </w:rPr>
        <w:t xml:space="preserve"> (Y.Y. przeciwko Turcji, A.P. Garçon &amp; Nicot przeciwko Francji). Wyrok S.V. przeciwko Włochom jasno pokazał, że prawo do prywatności (art. 8 EKPC)  należy obecnie wiązać z prawem do wolności, autonomii i prawem do samostanowienia. Z praw tych wynika, że życie prywatne człowieka obejmuje także tożsamość psychiczną i społeczną człowieka, w tym jego identyfikację płciową, którą państwo ma obowiązek uszanować.</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 xml:space="preserve">Wymóg, by procedura zmiany oznaczenia płci była </w:t>
      </w:r>
      <w:r>
        <w:rPr>
          <w:rFonts w:eastAsia="Times New Roman" w:cs="Times New Roman" w:ascii="Times New Roman" w:hAnsi="Times New Roman"/>
          <w:b/>
        </w:rPr>
        <w:t>szybka, łatwo dostępna i respektowała tożsamość płciową jednostki</w:t>
      </w:r>
      <w:r>
        <w:rPr>
          <w:rFonts w:eastAsia="Times New Roman" w:cs="Times New Roman" w:ascii="Times New Roman" w:hAnsi="Times New Roman"/>
        </w:rPr>
        <w:t xml:space="preserve"> można znaleźć również w innych aktach i dokumentach międzynarodowych. Na poziomie europejskim jednym z kluczowych dokumentów poruszających tematykę uzgodnienia płci jest zalecenie CM/Rec(2010)5, przyjęte przez Komitet Ministrów Rady Europy w 2010 r.</w:t>
      </w:r>
      <w:r>
        <w:rPr>
          <w:rStyle w:val="FootnoteReference"/>
          <w:rFonts w:eastAsia="Times New Roman" w:cs="Times New Roman" w:ascii="Times New Roman" w:hAnsi="Times New Roman"/>
          <w:vertAlign w:val="superscript"/>
        </w:rPr>
        <w:footnoteReference w:id="4"/>
      </w:r>
      <w:r>
        <w:rPr>
          <w:rFonts w:eastAsia="Times New Roman" w:cs="Times New Roman" w:ascii="Times New Roman" w:hAnsi="Times New Roman"/>
        </w:rPr>
        <w:t xml:space="preserve"> czy Zalecenie nr 17 dotyczące Ogólnej Polityki Europejskiej Komisji Przeciwko Rasizmowi i Nietolerancji w sprawie zapobiegania i zwalczania nietolerancji i dyskryminacji przeciwko osobom LGBTI</w:t>
      </w:r>
      <w:r>
        <w:rPr>
          <w:rStyle w:val="FootnoteReference"/>
          <w:rFonts w:eastAsia="Times New Roman" w:cs="Times New Roman" w:ascii="Times New Roman" w:hAnsi="Times New Roman"/>
          <w:vertAlign w:val="superscript"/>
        </w:rPr>
        <w:footnoteReference w:id="5"/>
      </w:r>
      <w:r>
        <w:rPr>
          <w:rFonts w:eastAsia="Times New Roman" w:cs="Times New Roman" w:ascii="Times New Roman" w:hAnsi="Times New Roman"/>
        </w:rPr>
        <w:t xml:space="preserve">. Niezależny Ekspert ONZ ds. ochrony przed przemocą i dyskryminacją opartych na orientacji seksualnej i tożsamości płciowej wskazał, że „procedura prawnego uzgodnienia płci pozwalająca osobom transpłciowym na zmianę imienia i oznaczenia płci w dokumentach </w:t>
      </w:r>
      <w:r>
        <w:rPr>
          <w:rFonts w:eastAsia="Times New Roman" w:cs="Times New Roman" w:ascii="Times New Roman" w:hAnsi="Times New Roman"/>
          <w:b/>
        </w:rPr>
        <w:t>powinna być prostym postępowaniem administracyjnym opartym na samookreśleniu wnioskodawcy, powinna być dostępna i, tak dalece, jak to możliwe, wolna od kosztów</w:t>
      </w:r>
      <w:r>
        <w:rPr>
          <w:rStyle w:val="FootnoteReference"/>
          <w:rFonts w:eastAsia="Times New Roman" w:cs="Times New Roman" w:ascii="Times New Roman" w:hAnsi="Times New Roman"/>
          <w:vertAlign w:val="superscript"/>
        </w:rPr>
        <w:footnoteReference w:id="6"/>
      </w:r>
      <w:r>
        <w:rPr>
          <w:rFonts w:eastAsia="Times New Roman" w:cs="Times New Roman" w:ascii="Times New Roman" w:hAnsi="Times New Roman"/>
        </w:rPr>
        <w:t>.</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Mając na uwadze standard międzynarodowy, można jednoznacznie stwierdzić, że postępowaniem, które w większym stopniu chroni prywatność jednostki, uznaje podmiotowość osoby transpłciowej i ma szansę być postępowaniem szybkim, efektywnym i łatwo dostępnym, jest właśnie postępowanie nieprocesowe, o sprostowanie aktu urodzenia.</w:t>
      </w:r>
    </w:p>
    <w:p>
      <w:pPr>
        <w:pStyle w:val="normal1"/>
        <w:ind w:hanging="0" w:left="420"/>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Jednocześnie należy zauważyć, że brak jest powodów, by uznać za nieaktualne te tezy płynące z orzecznictwa Sądu Najwyższego i sądów powszechnych wydanych w ostatnich 36 latach, które nie dotyczyły trybu postępowania i osób legitymowanych w procesie o ustalenie płci</w:t>
      </w:r>
      <w:r>
        <w:rPr>
          <w:rFonts w:eastAsia="Times New Roman" w:cs="Times New Roman" w:ascii="Times New Roman" w:hAnsi="Times New Roman"/>
          <w:b/>
        </w:rPr>
        <w:t>. W szczególności aktualna pozostaje teza, że tożsamość płciowa jest dobrem osobistym jednostki w rozumieniu art. 23 k.c. i że w postępowaniu należy wykazać trwałość poczucia przynależności do danej płci.</w:t>
      </w:r>
      <w:r>
        <w:rPr>
          <w:rFonts w:eastAsia="Times New Roman" w:cs="Times New Roman" w:ascii="Times New Roman" w:hAnsi="Times New Roman"/>
        </w:rPr>
        <w:t xml:space="preserve">  Zarówno pozew o ustalenie płci, jak i obecnie wniosek o sprostowanie aktu urodzenia wywołują ten sam skutek – w akcie urodzenia nanoszona jest wzmianka dodatkowa o orzeczeniu sądowym. Przemawia to za stosowaniem dotychczasowych standardów do uznania, czy spełnione zostały przesłanki zmiany oznaczenia płci w akcie urodzenia.</w:t>
      </w:r>
    </w:p>
    <w:p>
      <w:pPr>
        <w:pStyle w:val="normal1"/>
        <w:jc w:val="both"/>
        <w:rPr>
          <w:rFonts w:ascii="Times New Roman" w:hAnsi="Times New Roman" w:eastAsia="Times New Roman" w:cs="Times New Roman"/>
        </w:rPr>
      </w:pPr>
      <w:r>
        <w:rPr>
          <w:rFonts w:eastAsia="Times New Roman" w:cs="Times New Roman" w:ascii="Times New Roman" w:hAnsi="Times New Roman"/>
        </w:rPr>
        <w:t xml:space="preserve"> </w:t>
      </w:r>
    </w:p>
    <w:p>
      <w:pPr>
        <w:pStyle w:val="normal1"/>
        <w:ind w:hanging="0" w:left="0"/>
        <w:jc w:val="both"/>
        <w:rPr>
          <w:rFonts w:ascii="Times New Roman" w:hAnsi="Times New Roman" w:eastAsia="Times New Roman" w:cs="Times New Roman"/>
          <w:b/>
        </w:rPr>
      </w:pPr>
      <w:r>
        <w:rPr>
          <w:rFonts w:eastAsia="Times New Roman" w:cs="Times New Roman" w:ascii="Times New Roman" w:hAnsi="Times New Roman"/>
        </w:rPr>
        <w:t xml:space="preserve">Rzecznik Praw Obywatelskich w swoich rekomendacjach wskazywał, że osoba dochodząca ustalenia płci (obecnie zmiany oznaczenia płci w wyniku wniosku o sprostowanie aktu urodzenia) </w:t>
      </w:r>
      <w:r>
        <w:rPr>
          <w:rFonts w:eastAsia="Times New Roman" w:cs="Times New Roman" w:ascii="Times New Roman" w:hAnsi="Times New Roman"/>
          <w:b/>
        </w:rPr>
        <w:t xml:space="preserve">powinna wykazać trwałość poczucia przynależności do danej płci, co zasadniczo powinno nastąpić poprzez przedstawienie formalnej diagnozy. </w:t>
      </w:r>
      <w:r>
        <w:rPr>
          <w:rFonts w:eastAsia="Times New Roman" w:cs="Times New Roman" w:ascii="Times New Roman" w:hAnsi="Times New Roman"/>
        </w:rPr>
        <w:t xml:space="preserve">Zgodnie z zaleceniami Polskiego Towarzystwa Seksuologicznego (PTS) diagnoza taka powinna być postawiona przez dwóch ekspertów. Pierwszym z nich powinien być lekarz psychiatra lub seksuolog, a drugim – psycholog ze specjalizacją z zakresu psychologii klinicznej lub psychoseksuologii lub posiadający certyfikat seksuologa klinicznego. Powyższe standardy w sposób kompleksowy omawiają, w jaki sposób i na jakich podstawach dochodzi do postawienia diagnozy transseksualizmu (wg ICD-10) czy niezgodności płciowej (wg ICD-11). </w:t>
      </w:r>
      <w:r>
        <w:rPr>
          <w:rFonts w:eastAsia="Times New Roman" w:cs="Times New Roman" w:ascii="Times New Roman" w:hAnsi="Times New Roman"/>
          <w:b/>
        </w:rPr>
        <w:t>Wykazanie przez osobę transpłciową, że dysponuje diagnozą postawioną przez ekspertów zgodnie z zaleceniami PTS, jest wystarczające do stwierdzenia trwałości jej poczucia przynależności do płci, której ustalenia się domaga, a tym samym jest wystarczające do wydania postanowienia uwzględniającego wniosek.</w:t>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numPr>
          <w:ilvl w:val="0"/>
          <w:numId w:val="3"/>
        </w:numPr>
        <w:spacing w:lineRule="auto" w:line="276"/>
        <w:ind w:hanging="360" w:left="720"/>
        <w:jc w:val="both"/>
        <w:rPr>
          <w:rFonts w:ascii="Times New Roman" w:hAnsi="Times New Roman" w:eastAsia="Times New Roman" w:cs="Times New Roman"/>
          <w:b/>
        </w:rPr>
      </w:pPr>
      <w:r>
        <w:rPr>
          <w:rFonts w:eastAsia="Times New Roman" w:cs="Times New Roman" w:ascii="Times New Roman" w:hAnsi="Times New Roman"/>
          <w:b/>
        </w:rPr>
        <w:t>Uzasadnienie wniosku o rozpoznanie sprawy na posiedzeniu niejawnym na podstawie dokumentacji przedstawionej przez Wnioskodawczynię, bez powoływania biegłego.</w:t>
      </w:r>
    </w:p>
    <w:p>
      <w:pPr>
        <w:pStyle w:val="normal1"/>
        <w:spacing w:lineRule="auto" w:line="276" w:before="0" w:after="80"/>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40" w:before="0" w:after="80"/>
        <w:ind w:hanging="0" w:left="0"/>
        <w:jc w:val="both"/>
        <w:rPr>
          <w:rFonts w:ascii="Times New Roman" w:hAnsi="Times New Roman" w:eastAsia="Times New Roman" w:cs="Times New Roman"/>
          <w:b/>
        </w:rPr>
      </w:pPr>
      <w:r>
        <w:rPr>
          <w:rFonts w:eastAsia="Times New Roman" w:cs="Times New Roman" w:ascii="Times New Roman" w:hAnsi="Times New Roman"/>
        </w:rPr>
        <w:t xml:space="preserve">Opisane wyżej okoliczności dowodzą jednoznacznie, że wniosek  jest zasadny. </w:t>
      </w:r>
      <w:r>
        <w:rPr>
          <w:rFonts w:eastAsia="Times New Roman" w:cs="Times New Roman" w:ascii="Times New Roman" w:hAnsi="Times New Roman"/>
          <w:b/>
        </w:rPr>
        <w:t xml:space="preserve">Jednocześnie, jako że wszystkie istotne w sprawie okoliczności wynikają z dokumentów, zasadne jest rozpoznanie sprawy na posiedzeniu niejawnym. </w:t>
      </w:r>
      <w:r>
        <w:rPr>
          <w:rFonts w:eastAsia="Times New Roman" w:cs="Times New Roman" w:ascii="Times New Roman" w:hAnsi="Times New Roman"/>
        </w:rPr>
        <w:t xml:space="preserve">W postępowaniu nieprocesowym rozpoznanie sprawy na posiedzeniu niejawnym jest sposobem domyślnym (art. 514 k.p.c.), a do wyjątków należy rozpoznawanie ich na rozprawie. </w:t>
      </w:r>
    </w:p>
    <w:p>
      <w:pPr>
        <w:pStyle w:val="normal1"/>
        <w:spacing w:lineRule="auto" w:line="240" w:before="0" w:after="80"/>
        <w:ind w:hanging="0" w:left="0"/>
        <w:jc w:val="both"/>
        <w:rPr>
          <w:rFonts w:ascii="Times New Roman" w:hAnsi="Times New Roman" w:eastAsia="Times New Roman" w:cs="Times New Roman"/>
        </w:rPr>
      </w:pPr>
      <w:r>
        <w:rPr>
          <w:rFonts w:eastAsia="Times New Roman" w:cs="Times New Roman" w:ascii="Times New Roman" w:hAnsi="Times New Roman"/>
        </w:rPr>
        <w:t>W szczególności w niniejszym postępowaniu nie ma konieczności sięgania po dowód z opinii biegłego przed wydaniem orzeczenia. Jak wskazano w przewodniku przygotowanym przez RPO, który w tym zakresie zachowuje swoją aktualność:</w:t>
      </w:r>
    </w:p>
    <w:p>
      <w:pPr>
        <w:pStyle w:val="normal1"/>
        <w:spacing w:lineRule="auto" w:line="240" w:before="0" w:after="80"/>
        <w:ind w:hanging="0" w:left="1420"/>
        <w:jc w:val="both"/>
        <w:rPr>
          <w:rFonts w:ascii="Times New Roman" w:hAnsi="Times New Roman" w:eastAsia="Times New Roman" w:cs="Times New Roman"/>
          <w:i/>
        </w:rPr>
      </w:pPr>
      <w:r>
        <w:rPr>
          <w:rFonts w:eastAsia="Times New Roman" w:cs="Times New Roman" w:ascii="Times New Roman" w:hAnsi="Times New Roman"/>
          <w:i/>
        </w:rPr>
        <w:t xml:space="preserve">Kluczową kwestią do oceny czy sąd musi sięgać po biegłego jest wskazanie, że zgodnie z zaleceniami Polskiego Towarzystwa Seksuologicznego rozpoczęcie tranzycji medycznej uwarunkowane jest uzyskaniem formalnej diagnozy lekarzy o określonych specjalnościach i psychologa. Nie ma żadnych powodów, dla których rozpoczęcie tranzycji prawnej miałoby być obwarowane innymi lub dodatkowymi warunkami. Posiadanie diagnozy jest zaś faktem, który powód lub powódka </w:t>
      </w:r>
      <w:r>
        <w:rPr>
          <w:rFonts w:eastAsia="Times New Roman" w:cs="Times New Roman" w:ascii="Times New Roman" w:hAnsi="Times New Roman"/>
        </w:rPr>
        <w:t>[obecnie – wnioskodawca lub wnioskodawczyni]</w:t>
      </w:r>
      <w:r>
        <w:rPr>
          <w:rFonts w:eastAsia="Times New Roman" w:cs="Times New Roman" w:ascii="Times New Roman" w:hAnsi="Times New Roman"/>
          <w:i/>
        </w:rPr>
        <w:t xml:space="preserve"> może wykazać przedstawiając swoją dokumentację medyczną i która może być oceniona przez sąd jako dokument prywatny w rozumieniu art. 245 k.p.c. Będzie to niewątpliwie dowód tego, że odpowiedni specjaliści złożyli oświadczenia dotyczące diagnozy czy stanu zdrowia powoda lub powódki. Przystępując więc do rozstrzygnięcia sprawy o ustalenie płci, w której powód dołączył do pozwu dokumentację medyczną zgodną z zaleceniami Polskiego Towarzystwa Seksuologicznego, sąd – o ile nie występują wyjątkowe okoliczności – powinien uznać, że przedstawiono mu materiał dowodowy wystarczający do stwierdzenia podstawowej przesłanki ustalenia płci, tj. uzyskania przez powoda lub powódkę formalnej diagnozy transpłciowości. Co do zasady nie musi być do tego konieczne uzyskanie opinii biegłych sądowych.</w:t>
      </w:r>
    </w:p>
    <w:p>
      <w:pPr>
        <w:pStyle w:val="normal1"/>
        <w:spacing w:lineRule="auto" w:line="240" w:before="0" w:after="80"/>
        <w:ind w:hanging="0" w:left="1420"/>
        <w:jc w:val="both"/>
        <w:rPr>
          <w:rFonts w:ascii="Times New Roman" w:hAnsi="Times New Roman" w:eastAsia="Times New Roman" w:cs="Times New Roman"/>
          <w:i/>
        </w:rPr>
      </w:pPr>
      <w:r>
        <w:rPr>
          <w:rFonts w:eastAsia="Times New Roman" w:cs="Times New Roman" w:ascii="Times New Roman" w:hAnsi="Times New Roman"/>
          <w:i/>
        </w:rPr>
        <w:t xml:space="preserve">Dla przykładu wskazać należy, że osoba dochodząca np. roszczenia alimentacyjnego, chcąca wykazać swoje zwiększone potrzeby ze względu na chorobę przewlekłą, nie musi zgłaszać w postępowaniu wniosku o opinię biegłego. Sądy, by stwierdzić fakt, że osoba ta w istocie cierpi na daną chorobę, poprzestają w takich przypadkach na przedstawionym zaświadczeniu od odpowiedniego lekarza specjalisty </w:t>
      </w:r>
      <w:r>
        <w:rPr>
          <w:rFonts w:eastAsia="Times New Roman" w:cs="Times New Roman" w:ascii="Times New Roman" w:hAnsi="Times New Roman"/>
        </w:rPr>
        <w:t>[s. 67]</w:t>
      </w:r>
      <w:r>
        <w:rPr>
          <w:rFonts w:eastAsia="Times New Roman" w:cs="Times New Roman" w:ascii="Times New Roman" w:hAnsi="Times New Roman"/>
          <w:i/>
        </w:rPr>
        <w:t>.</w:t>
      </w:r>
    </w:p>
    <w:p>
      <w:pPr>
        <w:pStyle w:val="normal1"/>
        <w:spacing w:lineRule="auto" w:line="240" w:before="0" w:after="80"/>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40" w:before="0" w:after="80"/>
        <w:ind w:hanging="0" w:left="0"/>
        <w:jc w:val="both"/>
        <w:rPr>
          <w:rFonts w:ascii="Times New Roman" w:hAnsi="Times New Roman" w:eastAsia="Times New Roman" w:cs="Times New Roman"/>
        </w:rPr>
      </w:pPr>
      <w:r>
        <w:rPr>
          <w:rFonts w:eastAsia="Times New Roman" w:cs="Times New Roman" w:ascii="Times New Roman" w:hAnsi="Times New Roman"/>
        </w:rPr>
        <w:t xml:space="preserve">Podkreślenia wymaga, że wydawanie wyroków w procesach o ustalenie płci na posiedzeniu niejawnym i bez powoływania biegłego stało się jedną z dominujących praktyk w ostatnich latach, przed wydaniem uchwały przez SN. Takie postępowanie jednoznacznie rekomendował też RPO w cytowanej publikacji. Obecnie zmianie ulega jedynie tryb postępowania, ale dotychczasowe przesłanki zmiany oznaczenia płci powinny zostać takie same. Nie ma więc żadnych przeszkód, by w sprawach o zmianę oznaczenia płci przez sprostowanie aktu urodzenia stosować te same standardy dowodowe, które utrwaliły się w sprawach o ustalenie płci. Jak podkreślono w przewodniku RPO, postępowaniach prowadzonych w latach 2020–2022 sądy okręgowe uwzględniły powództwa na posiedzeniach niejawnych aż w 132 sprawach (s. 93). Doświadczenie spraw prowadzonych w ostatnich latach wskazuje, że wyroki na posiedzeniu niejawnym i bez dowodu z opinii biegłego zapadały bardzo często. Rzadziej wyrok poprzedzała rozprawa, choć i wtedy sądy nie sięgały po opinię. Coraz rzadsze były sytuacje dopuszczania dowodu z opinii biegłego. </w:t>
      </w:r>
    </w:p>
    <w:p>
      <w:pPr>
        <w:pStyle w:val="normal1"/>
        <w:spacing w:lineRule="auto" w:line="240" w:before="100" w:after="200"/>
        <w:ind w:hanging="0" w:left="0"/>
        <w:jc w:val="both"/>
        <w:rPr>
          <w:rFonts w:ascii="Times New Roman" w:hAnsi="Times New Roman" w:eastAsia="Times New Roman" w:cs="Times New Roman"/>
        </w:rPr>
      </w:pPr>
      <w:r>
        <w:rPr>
          <w:rFonts w:eastAsia="Times New Roman" w:cs="Times New Roman" w:ascii="Times New Roman" w:hAnsi="Times New Roman"/>
        </w:rPr>
        <w:t xml:space="preserve">W orzecznictwie Sądu Najwyższego podkreślano, że prawo do identyfikowania się z daną płcią to prawo osobiste, z którego charakteru wynika, że interes prawny w uzgodnieniu płci ma wyłącznie podmiot tego prawa. Również w niedawnej uchwale SN podkreślił, że wynik sprawy o zmianę oznaczenia płci dotyczy wyłącznie tej jednostki. Przyjmowane w judykaturze rozwiązania są przy tym próbą znalezienia drogi realizacji ochrony prawnej w zakresie ustalenia zmiany oznaczenia płci </w:t>
      </w:r>
      <w:r>
        <w:rPr>
          <w:rFonts w:eastAsia="Times New Roman" w:cs="Times New Roman" w:ascii="Times New Roman" w:hAnsi="Times New Roman"/>
          <w:b/>
        </w:rPr>
        <w:t>w warunkach luki prawnej</w:t>
      </w:r>
      <w:r>
        <w:rPr>
          <w:rFonts w:eastAsia="Times New Roman" w:cs="Times New Roman" w:ascii="Times New Roman" w:hAnsi="Times New Roman"/>
        </w:rPr>
        <w:t xml:space="preserve">. W ostatnich 36 latach orzecznictwo uznawało, że właściwą ścieżką powinno być wykorzystanie w tym celu założeń powództwa o ustalenie (art. 189 k.p.c.). Obecnie uchwałą z marca 2025 r. SN powrócił do koncepcji stosowania przez analogię przepisów o sprostowaniu aktu urodzenia. Należy jednak zauważyć, że opisany wcześniej standard międzynarodowy podkreśla konieczność zapewnienia procedury, która będzie szybka, przejrzysta i łatwo dostępna, a Ekspert ONZ podnosi wręcz, że procedura powinna być oparta o samookreślenie jednostki. Biorąc pod uwagę ten standard i to, że obecne rozwiązanie jest jedynie wypełnieniem luki prawnej, rygory wynikające z postępowania sądowego i tym samym dowodowego, powinny być możliwie łagodzone. </w:t>
      </w:r>
    </w:p>
    <w:p>
      <w:pPr>
        <w:pStyle w:val="normal1"/>
        <w:numPr>
          <w:ilvl w:val="0"/>
          <w:numId w:val="3"/>
        </w:numPr>
        <w:ind w:hanging="360" w:left="720"/>
        <w:jc w:val="both"/>
        <w:rPr>
          <w:rFonts w:ascii="Times New Roman" w:hAnsi="Times New Roman" w:eastAsia="Times New Roman" w:cs="Times New Roman"/>
          <w:b/>
        </w:rPr>
      </w:pPr>
      <w:commentRangeStart w:id="37"/>
      <w:sdt>
        <w:sdtPr>
          <w:tag w:val="goog_rdk_39"/>
        </w:sdtPr>
        <w:sdtContent>
          <w:r>
            <w:rPr/>
          </w:r>
          <w:r>
            <w:rPr/>
          </w:r>
        </w:sdtContent>
      </w:sdt>
      <w:r>
        <w:rPr>
          <w:rFonts w:eastAsia="Times New Roman" w:cs="Times New Roman" w:ascii="Times New Roman" w:hAnsi="Times New Roman"/>
          <w:b/>
        </w:rPr>
        <w:t>Wniosek o rozpoznanie niniejszej sprawy w trybie pilnym, zgodnie z § 2 pkt 5 lit. x Rozporządzenia Ministra Sprawiedliwości z dnia 18 czerwca 2019 r. Regulamin urzędowania sądów powszechnych.</w:t>
      </w:r>
      <w:commentRangeEnd w:id="37"/>
      <w:r>
        <w:commentReference w:id="37"/>
      </w:r>
      <w:r>
        <w:rPr>
          <w:rFonts w:eastAsia="Times New Roman" w:cs="Times New Roman" w:ascii="Times New Roman" w:hAnsi="Times New Roman"/>
          <w:b/>
        </w:rPr>
      </w:r>
    </w:p>
    <w:p>
      <w:pPr>
        <w:pStyle w:val="normal1"/>
        <w:ind w:hanging="0" w:left="0"/>
        <w:jc w:val="both"/>
        <w:rPr>
          <w:rFonts w:ascii="Times New Roman" w:hAnsi="Times New Roman" w:eastAsia="Times New Roman" w:cs="Times New Roman"/>
          <w:b/>
        </w:rPr>
      </w:pPr>
      <w:r>
        <w:rPr>
          <w:rFonts w:eastAsia="Times New Roman" w:cs="Times New Roman" w:ascii="Times New Roman" w:hAnsi="Times New Roman"/>
          <w:b/>
        </w:rPr>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Zgodnie z aktualnym brzmieniem § 2 pkt 5 lit. x Rozporządzenia Ministra Sprawiedliwości z dnia 18 czerwca 2019 r. Regulamin urzędowania sądów powszechnych, sprawy o ustalenie płci metrykalnej (art. 189 k.p.c.) są sprawami pilnymi. Przepis ten został wprowadzony Rozporządzeniem Ministra Sprawiedliwości z dnia 26 września 2024 r. zmieniającym rozporządzenie – Regulamin urzędowania sądów powszechnych i wszedł w życie z dniem 16 października 2024 roku. Prawodawca trafnie zatem dostrzegł, że sprawy o uzgodnienie płci metrykalnej, z uwagi na swoją specyfikę, zazwyczaj mają pilny charakter. Nie inaczej jest na gruncie niniejszej spawy. Postępowanie dotyczy bowiem moich najbardziej żywotnych interesów oraz codziennego funkcjonowania. Zaznaczyć należy, że funkcjonuję w ramach odczuwanej tożsamości płciowej, co pozostaje w rozdźwięku z płcią metrykalną uwidocznioną w dokumentach.</w:t>
      </w:r>
    </w:p>
    <w:p>
      <w:pPr>
        <w:pStyle w:val="normal1"/>
        <w:spacing w:lineRule="auto" w:line="240" w:before="100" w:after="200"/>
        <w:ind w:hanging="0" w:left="0"/>
        <w:jc w:val="both"/>
        <w:rPr>
          <w:rFonts w:ascii="Times New Roman" w:hAnsi="Times New Roman" w:eastAsia="Times New Roman" w:cs="Times New Roman"/>
        </w:rPr>
      </w:pPr>
      <w:r>
        <w:rPr>
          <w:rFonts w:eastAsia="Times New Roman" w:cs="Times New Roman" w:ascii="Times New Roman" w:hAnsi="Times New Roman"/>
        </w:rPr>
        <w:t>Choć literalnie przepis dotyczy postępowań o ustalenie płci, to wykładnia celowościowa i funkcjonalna w sposób oczywisty nakazują go stosować do postępowań o sprostowanie aktu urodzenia osób transpłciowych. Intencja prawodawcy i cel przepisu są tu bowiem całkowicie jednoznaczne. Przy nowelizacji tego przepisu nie można było zakładać, że zmieni się tryb postępowania. Należy ponadto podkreślić, że uznanie niniejszej sprawy za sprawę pilną pozostaje w zgodzie ze standardami międzynarodowymi nakazującymi szybkie rozpoznanie spraw o zmianę oznaczenia płci.</w:t>
      </w:r>
    </w:p>
    <w:p>
      <w:pPr>
        <w:pStyle w:val="normal1"/>
        <w:numPr>
          <w:ilvl w:val="0"/>
          <w:numId w:val="3"/>
        </w:numPr>
        <w:spacing w:lineRule="auto" w:line="240" w:before="100" w:after="200"/>
        <w:ind w:hanging="360" w:left="720"/>
        <w:jc w:val="both"/>
        <w:rPr>
          <w:rFonts w:ascii="Times New Roman" w:hAnsi="Times New Roman" w:eastAsia="Times New Roman" w:cs="Times New Roman"/>
          <w:b/>
        </w:rPr>
      </w:pPr>
      <w:commentRangeStart w:id="38"/>
      <w:sdt>
        <w:sdtPr>
          <w:tag w:val="goog_rdk_40"/>
        </w:sdtPr>
        <w:sdtContent>
          <w:r>
            <w:rPr/>
          </w:r>
          <w:r>
            <w:rPr/>
          </w:r>
        </w:sdtContent>
      </w:sdt>
      <w:r>
        <w:rPr>
          <w:rFonts w:eastAsia="Times New Roman" w:cs="Times New Roman" w:ascii="Times New Roman" w:hAnsi="Times New Roman"/>
          <w:b/>
        </w:rPr>
        <w:t>Możliwość wydania rozstrzygnięcia w przedmiocie imienia i nazwiska Wnioskodawczyni</w:t>
      </w:r>
      <w:r>
        <w:rPr>
          <w:rFonts w:eastAsia="Times New Roman" w:cs="Times New Roman" w:ascii="Times New Roman" w:hAnsi="Times New Roman"/>
          <w:b/>
        </w:rPr>
      </w:r>
      <w:commentRangeEnd w:id="38"/>
      <w:r>
        <w:commentReference w:id="38"/>
      </w:r>
      <w:r>
        <w:rPr>
          <w:rFonts w:eastAsia="Times New Roman" w:cs="Times New Roman" w:ascii="Times New Roman" w:hAnsi="Times New Roman"/>
          <w:b/>
        </w:rPr>
        <w:t>.</w:t>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 xml:space="preserve">Z kolei w kwestii żądania zmiany </w:t>
      </w:r>
      <w:commentRangeStart w:id="39"/>
      <w:sdt>
        <w:sdtPr>
          <w:tag w:val="goog_rdk_41"/>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rPr>
        <w:t>mojego imienia/imion i/lub nazwiska</w:t>
      </w:r>
      <w:r>
        <w:rPr>
          <w:rFonts w:eastAsia="Times New Roman" w:cs="Times New Roman" w:ascii="Times New Roman" w:hAnsi="Times New Roman"/>
        </w:rPr>
      </w:r>
      <w:commentRangeEnd w:id="39"/>
      <w:r>
        <w:commentReference w:id="39"/>
      </w:r>
      <w:r>
        <w:rPr>
          <w:rFonts w:eastAsia="Times New Roman" w:cs="Times New Roman" w:ascii="Times New Roman" w:hAnsi="Times New Roman"/>
        </w:rPr>
        <w:t xml:space="preserve"> na aktualnie używane, należy wskazać w pierwszej kolejności, że nie jest to żądanie wysuwane ani opierane na przesłankach wynikających z ustawy z dnia 17 października 2008 roku o zmianie imienia i nazwiska, a przesłanki te nie stoją na przeszkodzie rozstrzygnięciu w tym przedmiocie. Potrzeba i konieczność dostosowania imion lub nazwiska do oznaczenia płci koreluje bowiem z żądaniem ustalenia odmiennej płci, niż przypisana przy urodzeniu, i tylko z niego wynika. Uwzględnienie wniosku tylko co do zmiany oznaczenia płci metrykalnej spowodowałoby, że będę z konieczności funkcjonowała przynajmniej przez pewien czas jako osoba o danych męskich, a jedynie żeńskim oznaczeniu płci i żeńskim numerze PESEL, co jest sytuacją bez precedensu i wysoce komplikowałoby codzienne funkcjonowanie.</w:t>
      </w:r>
    </w:p>
    <w:p>
      <w:pPr>
        <w:pStyle w:val="normal1"/>
        <w:ind w:hanging="0" w:left="0"/>
        <w:jc w:val="both"/>
        <w:rPr>
          <w:rFonts w:ascii="Times New Roman" w:hAnsi="Times New Roman" w:eastAsia="Times New Roman" w:cs="Times New Roman"/>
          <w:b/>
        </w:rPr>
      </w:pPr>
      <w:r>
        <w:rPr>
          <w:rFonts w:eastAsia="Times New Roman" w:cs="Times New Roman" w:ascii="Times New Roman" w:hAnsi="Times New Roman"/>
          <w:b/>
        </w:rPr>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W praktyce faktycznie brak zmiany imienia i nazwiska równolegle do zmiany oznaczenia płci i numeru PESEL powoduje, że osoby transpłciowe doświadczają wielu praktycznych trudności w okresie do czasu zmiany wszystkich danych i wydania nowego dowodu osobistego. Osoba nie posiada aktualnego dokumentu tożsamości, przestają działać systemy oparte o usługi cyfrowe obywatel.gov.pl (w tym ePUAP). Występują trudności w wystawieniu recept i ich realizowaniu. Przemawia to za koniecznością uzgodnienia od razu wszystkich danych.</w:t>
      </w:r>
    </w:p>
    <w:p>
      <w:pPr>
        <w:pStyle w:val="normal1"/>
        <w:ind w:hanging="0" w:left="0"/>
        <w:jc w:val="both"/>
        <w:rPr>
          <w:rFonts w:ascii="Times New Roman" w:hAnsi="Times New Roman" w:eastAsia="Times New Roman" w:cs="Times New Roman"/>
          <w:b/>
        </w:rPr>
      </w:pPr>
      <w:r>
        <w:rPr>
          <w:rFonts w:eastAsia="Times New Roman" w:cs="Times New Roman" w:ascii="Times New Roman" w:hAnsi="Times New Roman"/>
          <w:b/>
        </w:rPr>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Imiona i nazwiska są, oprócz oznaczenia płci, istotnymi danymi odróżniającymi osobę, a podstawa ich zmiany jest taka sama, jak w przypadku zmiany oznaczenia płci – czyli niezgodność płciowa. Orzeczenie sądowe żądane w niniejszym wniosku, będące krokiem na drodze do formalnej tranzycji osoby transpłciowej, winno – w braku pozytywnych uregulowań – dążyć do uzgodnienia wszystkich danych osobowych osoby transpłciowej zgodnie z obraną płcią.</w:t>
      </w:r>
    </w:p>
    <w:p>
      <w:pPr>
        <w:pStyle w:val="normal1"/>
        <w:ind w:hanging="0" w:left="0"/>
        <w:jc w:val="both"/>
        <w:rPr>
          <w:rFonts w:ascii="Times New Roman" w:hAnsi="Times New Roman" w:eastAsia="Times New Roman" w:cs="Times New Roman"/>
          <w:b/>
        </w:rPr>
      </w:pPr>
      <w:r>
        <w:rPr>
          <w:rFonts w:eastAsia="Times New Roman" w:cs="Times New Roman" w:ascii="Times New Roman" w:hAnsi="Times New Roman"/>
          <w:b/>
        </w:rPr>
      </w:r>
    </w:p>
    <w:p>
      <w:pPr>
        <w:pStyle w:val="normal1"/>
        <w:ind w:hanging="0" w:left="0"/>
        <w:jc w:val="both"/>
        <w:rPr>
          <w:rFonts w:ascii="Times New Roman" w:hAnsi="Times New Roman" w:eastAsia="Times New Roman" w:cs="Times New Roman"/>
        </w:rPr>
      </w:pPr>
      <w:r>
        <w:rPr>
          <w:rFonts w:eastAsia="Times New Roman" w:cs="Times New Roman" w:ascii="Times New Roman" w:hAnsi="Times New Roman"/>
        </w:rPr>
        <w:t>Nie jest argumentem przemawiającym za niedopuszczalnością drogi sądowej w tym zakresie okoliczność, że istnieje uregulowana procedura administracyjna dotycząca zmiany imion i nazwisk, przewidziana w ustawie o zmianie imienia i nazwiska. Orzekający w tych sprawach organ administracji w osobie kierownika urzędu stanu cywilnego należy uznać za właściwy do korygowania danych osób transpłciowych wyłącznie wówczas, gdy wniosek kieruje się w trybie administracyjnym i w oparciu o owe „ważne powody”, wymienione w art. 4 odnośnej ustawy – niezwiązane ze zmianą oznaczenia płci. Nieenumeratywny katalog owych powodów odwołuje się jednak do sytuacji odmiennych rodzajowo, niż transpłciowość i zapadnięcie orzeczenia sądowego stwierdzającego, że wnioskodawca jest kobietą/mężczyzną zamiast płci przypisanej przy urodzeniu.</w:t>
      </w:r>
    </w:p>
    <w:p>
      <w:pPr>
        <w:pStyle w:val="normal1"/>
        <w:ind w:hanging="0" w:left="0"/>
        <w:jc w:val="both"/>
        <w:rPr>
          <w:rFonts w:ascii="Times New Roman" w:hAnsi="Times New Roman" w:eastAsia="Times New Roman" w:cs="Times New Roman"/>
          <w:b/>
        </w:rPr>
      </w:pPr>
      <w:r>
        <w:rPr>
          <w:rFonts w:eastAsia="Times New Roman" w:cs="Times New Roman" w:ascii="Times New Roman" w:hAnsi="Times New Roman"/>
          <w:b/>
        </w:rPr>
      </w:r>
    </w:p>
    <w:p>
      <w:pPr>
        <w:pStyle w:val="normal1"/>
        <w:ind w:hanging="0" w:left="0"/>
        <w:jc w:val="both"/>
        <w:rPr>
          <w:rFonts w:ascii="Times New Roman" w:hAnsi="Times New Roman" w:eastAsia="Times New Roman" w:cs="Times New Roman"/>
          <w:sz w:val="24"/>
          <w:szCs w:val="24"/>
        </w:rPr>
      </w:pPr>
      <w:r>
        <w:rPr>
          <w:rFonts w:eastAsia="Times New Roman" w:cs="Times New Roman" w:ascii="Times New Roman" w:hAnsi="Times New Roman"/>
        </w:rPr>
        <w:t>Brak zatem podstawy do uznania, że w zakresie żądania zmiany imienia i wniosek podlega odrzuceniu na zasadzie art. 199 § 1 pkt 1 k.p.c. w zw. z art. 13 § 2 k.p.c., a wobec obrania przeze mnie konkretnego imienia żeńskiego –  jakie chce nosić po sprostowaniu aktu urodzenia poprzez ujawnienie tam płci żeńskiej – i jakich w praktyce używam, istnieje możliwość orzeczenia także i w tym przedmiocie.</w:t>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t>Z tych względów wnoszę jak na wstępie.</w:t>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i/>
        </w:rPr>
      </w:pPr>
      <w:r>
        <w:rPr>
          <w:rFonts w:eastAsia="Times New Roman" w:cs="Times New Roman" w:ascii="Times New Roman" w:hAnsi="Times New Roman"/>
        </w:rPr>
        <w:tab/>
        <w:tab/>
        <w:tab/>
        <w:tab/>
        <w:tab/>
        <w:tab/>
        <w:tab/>
        <w:tab/>
        <w:tab/>
      </w:r>
      <w:commentRangeStart w:id="40"/>
      <w:sdt>
        <w:sdtPr>
          <w:tag w:val="goog_rdk_43"/>
        </w:sdtPr>
        <w:sdtContent>
          <w:r>
            <w:rPr>
              <w:rFonts w:eastAsia="Times New Roman" w:cs="Times New Roman" w:ascii="Times New Roman" w:hAnsi="Times New Roman"/>
            </w:rPr>
          </w:r>
          <w:r>
            <w:rPr>
              <w:rFonts w:eastAsia="Times New Roman" w:cs="Times New Roman" w:ascii="Times New Roman" w:hAnsi="Times New Roman"/>
            </w:rPr>
          </w:r>
        </w:sdtContent>
      </w:sdt>
      <w:r>
        <w:rPr>
          <w:rFonts w:eastAsia="Times New Roman" w:cs="Times New Roman" w:ascii="Times New Roman" w:hAnsi="Times New Roman"/>
          <w:i/>
        </w:rPr>
        <w:t>Podpis</w:t>
      </w:r>
      <w:commentRangeEnd w:id="40"/>
      <w:r>
        <w:commentReference w:id="40"/>
      </w:r>
      <w:r>
        <w:rPr>
          <w:rFonts w:eastAsia="Times New Roman" w:cs="Times New Roman" w:ascii="Times New Roman" w:hAnsi="Times New Roman"/>
          <w:i/>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rPr>
      </w:pPr>
      <w:r>
        <w:rPr>
          <w:rFonts w:eastAsia="Times New Roman" w:cs="Times New Roman" w:ascii="Times New Roman" w:hAnsi="Times New Roman"/>
        </w:rPr>
      </w:r>
    </w:p>
    <w:p>
      <w:pPr>
        <w:pStyle w:val="normal1"/>
        <w:spacing w:lineRule="auto" w:line="276"/>
        <w:ind w:hanging="0" w:left="0"/>
        <w:jc w:val="both"/>
        <w:rPr>
          <w:rFonts w:ascii="Times New Roman" w:hAnsi="Times New Roman" w:eastAsia="Times New Roman" w:cs="Times New Roman"/>
        </w:rPr>
      </w:pPr>
      <w:commentRangeStart w:id="41"/>
      <w:sdt>
        <w:sdtPr>
          <w:tag w:val="goog_rdk_44"/>
        </w:sdtPr>
        <w:sdtContent>
          <w:r>
            <w:rPr/>
          </w:r>
          <w:r>
            <w:rPr/>
          </w:r>
        </w:sdtContent>
      </w:sdt>
      <w:r>
        <w:rPr>
          <w:rFonts w:eastAsia="Times New Roman" w:cs="Times New Roman" w:ascii="Times New Roman" w:hAnsi="Times New Roman"/>
        </w:rPr>
        <w:t>Załączniki:</w:t>
      </w:r>
      <w:commentRangeEnd w:id="41"/>
      <w:r>
        <w:commentReference w:id="41"/>
      </w:r>
      <w:r>
        <w:rPr>
          <w:rFonts w:eastAsia="Times New Roman" w:cs="Times New Roman" w:ascii="Times New Roman" w:hAnsi="Times New Roman"/>
        </w:rPr>
      </w:r>
    </w:p>
    <w:p>
      <w:pPr>
        <w:pStyle w:val="normal1"/>
        <w:numPr>
          <w:ilvl w:val="0"/>
          <w:numId w:val="1"/>
        </w:numPr>
        <w:spacing w:lineRule="auto" w:line="276"/>
        <w:ind w:hanging="360" w:left="720"/>
        <w:jc w:val="both"/>
        <w:rPr>
          <w:rFonts w:ascii="Times New Roman" w:hAnsi="Times New Roman" w:eastAsia="Times New Roman" w:cs="Times New Roman"/>
        </w:rPr>
      </w:pPr>
      <w:commentRangeStart w:id="42"/>
      <w:sdt>
        <w:sdtPr>
          <w:tag w:val="goog_rdk_45"/>
        </w:sdtPr>
        <w:sdtContent>
          <w:r>
            <w:rPr/>
          </w:r>
          <w:r>
            <w:rPr/>
          </w:r>
        </w:sdtContent>
      </w:sdt>
      <w:r>
        <w:rPr>
          <w:rFonts w:eastAsia="Times New Roman" w:cs="Times New Roman" w:ascii="Times New Roman" w:hAnsi="Times New Roman"/>
        </w:rPr>
        <w:t xml:space="preserve">dowód uiszczenia opłaty sądowej od </w:t>
      </w:r>
      <w:r>
        <w:rPr>
          <w:rFonts w:eastAsia="Times New Roman" w:cs="Times New Roman" w:ascii="Times New Roman" w:hAnsi="Times New Roman"/>
        </w:rPr>
      </w:r>
      <w:commentRangeEnd w:id="42"/>
      <w:r>
        <w:commentReference w:id="42"/>
      </w:r>
      <w:r>
        <w:rPr>
          <w:rFonts w:eastAsia="Times New Roman" w:cs="Times New Roman" w:ascii="Times New Roman" w:hAnsi="Times New Roman"/>
        </w:rPr>
        <w:t>wniosku</w:t>
      </w:r>
    </w:p>
    <w:p>
      <w:pPr>
        <w:pStyle w:val="normal1"/>
        <w:numPr>
          <w:ilvl w:val="0"/>
          <w:numId w:val="1"/>
        </w:numPr>
        <w:spacing w:lineRule="auto" w:line="276"/>
        <w:ind w:hanging="360" w:left="720"/>
        <w:jc w:val="both"/>
        <w:rPr>
          <w:rFonts w:ascii="Times New Roman" w:hAnsi="Times New Roman" w:eastAsia="Times New Roman" w:cs="Times New Roman"/>
        </w:rPr>
      </w:pPr>
      <w:r>
        <w:rPr>
          <w:rFonts w:eastAsia="Times New Roman" w:cs="Times New Roman" w:ascii="Times New Roman" w:hAnsi="Times New Roman"/>
        </w:rPr>
        <w:t xml:space="preserve">odpis aktu urodzenia, </w:t>
      </w:r>
    </w:p>
    <w:p>
      <w:pPr>
        <w:pStyle w:val="normal1"/>
        <w:numPr>
          <w:ilvl w:val="0"/>
          <w:numId w:val="1"/>
        </w:numPr>
        <w:spacing w:lineRule="auto" w:line="276"/>
        <w:ind w:hanging="360" w:left="720"/>
        <w:jc w:val="both"/>
        <w:rPr>
          <w:rFonts w:ascii="Times New Roman" w:hAnsi="Times New Roman" w:eastAsia="Times New Roman" w:cs="Times New Roman"/>
        </w:rPr>
      </w:pPr>
      <w:commentRangeStart w:id="43"/>
      <w:sdt>
        <w:sdtPr>
          <w:tag w:val="goog_rdk_47"/>
        </w:sdtPr>
        <w:sdtContent>
          <w:r>
            <w:rPr/>
          </w:r>
          <w:r>
            <w:rPr/>
          </w:r>
        </w:sdtContent>
      </w:sdt>
      <w:r>
        <w:rPr>
          <w:rFonts w:eastAsia="Times New Roman" w:cs="Times New Roman" w:ascii="Times New Roman" w:hAnsi="Times New Roman"/>
        </w:rPr>
        <w:t>opinia psychologiczna,</w:t>
      </w:r>
    </w:p>
    <w:p>
      <w:pPr>
        <w:pStyle w:val="normal1"/>
        <w:numPr>
          <w:ilvl w:val="0"/>
          <w:numId w:val="1"/>
        </w:numPr>
        <w:spacing w:lineRule="auto" w:line="276"/>
        <w:ind w:hanging="360" w:left="720"/>
        <w:jc w:val="both"/>
        <w:rPr>
          <w:rFonts w:ascii="Times New Roman" w:hAnsi="Times New Roman" w:eastAsia="Times New Roman" w:cs="Times New Roman"/>
        </w:rPr>
      </w:pPr>
      <w:r>
        <w:rPr>
          <w:rFonts w:eastAsia="Times New Roman" w:cs="Times New Roman" w:ascii="Times New Roman" w:hAnsi="Times New Roman"/>
        </w:rPr>
        <w:t>zaświadczenie lekarza psychiatry/seksuologa,</w:t>
      </w:r>
      <w:commentRangeEnd w:id="43"/>
      <w:r>
        <w:commentReference w:id="43"/>
      </w:r>
      <w:r>
        <w:rPr>
          <w:rFonts w:eastAsia="Times New Roman" w:cs="Times New Roman" w:ascii="Times New Roman" w:hAnsi="Times New Roman"/>
        </w:rPr>
      </w:r>
    </w:p>
    <w:p>
      <w:pPr>
        <w:pStyle w:val="normal1"/>
        <w:numPr>
          <w:ilvl w:val="0"/>
          <w:numId w:val="1"/>
        </w:numPr>
        <w:spacing w:lineRule="auto" w:line="276"/>
        <w:ind w:hanging="360" w:left="720"/>
        <w:jc w:val="both"/>
        <w:rPr>
          <w:rFonts w:ascii="Times New Roman" w:hAnsi="Times New Roman" w:eastAsia="Times New Roman" w:cs="Times New Roman"/>
        </w:rPr>
      </w:pPr>
      <w:sdt>
        <w:sdtPr>
          <w:tag w:val="goog_rdk_48"/>
        </w:sdtPr>
        <w:sdtContent>
          <w:r>
            <w:rPr/>
          </w:r>
          <w:r>
            <w:rPr/>
          </w:r>
        </w:sdtContent>
      </w:sdt>
      <w:commentRangeStart w:id="44"/>
      <w:r>
        <w:rPr>
          <w:rFonts w:eastAsia="Times New Roman" w:cs="Times New Roman" w:ascii="Times New Roman" w:hAnsi="Times New Roman"/>
        </w:rPr>
        <w:t xml:space="preserve">dokument zatytułowany </w:t>
      </w:r>
      <w:r>
        <w:rPr>
          <w:rFonts w:eastAsia="Times New Roman" w:cs="Times New Roman" w:ascii="Times New Roman" w:hAnsi="Times New Roman"/>
          <w:i/>
        </w:rPr>
        <w:t>Postępowania w sprawach o uzgodnienie płci. Przewodnik</w:t>
      </w:r>
      <w:r>
        <w:rPr>
          <w:rFonts w:eastAsia="Times New Roman" w:cs="Times New Roman" w:ascii="Times New Roman" w:hAnsi="Times New Roman"/>
        </w:rPr>
        <w:t>, wydany przez Rzecznika Praw Obywatelskich,</w:t>
      </w:r>
      <w:commentRangeEnd w:id="44"/>
      <w:r>
        <w:commentReference w:id="44"/>
      </w:r>
      <w:r>
        <w:rPr>
          <w:rFonts w:eastAsia="Times New Roman" w:cs="Times New Roman" w:ascii="Times New Roman" w:hAnsi="Times New Roman"/>
        </w:rPr>
      </w:r>
    </w:p>
    <w:p>
      <w:pPr>
        <w:pStyle w:val="normal1"/>
        <w:numPr>
          <w:ilvl w:val="0"/>
          <w:numId w:val="1"/>
        </w:numPr>
        <w:spacing w:lineRule="auto" w:line="276" w:before="0" w:after="0"/>
        <w:ind w:hanging="360" w:left="720"/>
        <w:jc w:val="both"/>
        <w:rPr>
          <w:rFonts w:ascii="Times New Roman" w:hAnsi="Times New Roman" w:eastAsia="Times New Roman" w:cs="Times New Roman"/>
        </w:rPr>
      </w:pPr>
      <w:r>
        <w:rPr>
          <w:rFonts w:eastAsia="Times New Roman" w:cs="Times New Roman" w:ascii="Times New Roman" w:hAnsi="Times New Roman"/>
        </w:rPr>
        <w:t xml:space="preserve">dokument zatytułowany </w:t>
      </w:r>
      <w:r>
        <w:rPr>
          <w:rFonts w:eastAsia="Times New Roman" w:cs="Times New Roman" w:ascii="Times New Roman" w:hAnsi="Times New Roman"/>
          <w:i/>
        </w:rPr>
        <w:t>Zalecenia Polskiego Towarzystwa Seksuologicznego dotyczące opieki nad zdrowiem dorosłych osób transpłciowych – stanowisko panelu ekspertów</w:t>
      </w:r>
      <w:r>
        <w:rPr>
          <w:rFonts w:eastAsia="Times New Roman" w:cs="Times New Roman" w:ascii="Times New Roman" w:hAnsi="Times New Roman"/>
        </w:rPr>
        <w:t>.</w:t>
      </w:r>
    </w:p>
    <w:p>
      <w:pPr>
        <w:pStyle w:val="normal1"/>
        <w:spacing w:lineRule="auto" w:line="276" w:before="0" w:after="200"/>
        <w:ind w:hanging="0" w:left="720"/>
        <w:jc w:val="both"/>
        <w:rPr>
          <w:rFonts w:ascii="Times New Roman" w:hAnsi="Times New Roman" w:eastAsia="Times New Roman" w:cs="Times New Roman"/>
          <w:u w:val="none"/>
        </w:rPr>
      </w:pPr>
      <w:r>
        <w:rPr>
          <w:rFonts w:eastAsia="Times New Roman" w:cs="Times New Roman" w:ascii="Times New Roman" w:hAnsi="Times New Roman"/>
          <w:u w:val="none"/>
        </w:rPr>
      </w:r>
    </w:p>
    <w:p>
      <w:pPr>
        <w:pStyle w:val="normal1"/>
        <w:spacing w:lineRule="auto" w:line="276"/>
        <w:ind w:hanging="0" w:left="720"/>
        <w:jc w:val="both"/>
        <w:rPr>
          <w:rFonts w:ascii="Times New Roman" w:hAnsi="Times New Roman" w:eastAsia="Times New Roman" w:cs="Times New Roman"/>
        </w:rPr>
      </w:pPr>
      <w:r>
        <w:rPr>
          <w:rFonts w:eastAsia="Times New Roman" w:cs="Times New Roman" w:ascii="Times New Roman" w:hAnsi="Times New Roman"/>
        </w:rPr>
      </w:r>
    </w:p>
    <w:sectPr>
      <w:footerReference w:type="even" r:id="rId2"/>
      <w:footerReference w:type="default" r:id="rId3"/>
      <w:footerReference w:type="first" r:id="rId4"/>
      <w:footnotePr>
        <w:numFmt w:val="decimal"/>
      </w:footnotePr>
      <w:type w:val="nextPage"/>
      <w:pgSz w:w="11906" w:h="16838"/>
      <w:pgMar w:left="1440" w:right="1440" w:gutter="0" w:header="0" w:top="1440" w:footer="720" w:bottom="1440"/>
      <w:pgNumType w:start="1" w:fmt="decimal"/>
      <w:formProt w:val="false"/>
      <w:textDirection w:val="lrTb"/>
      <w:docGrid w:type="default" w:linePitch="100" w:charSpace="0"/>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Karolina Gierdal" w:date="2024-03-28T18:05:13Z" w:initials="">
    <w:p>
      <w:pPr>
        <w:overflowPunct w:val="true"/>
        <w:spacing w:lineRule="auto" w:line="360"/>
        <w:rPr/>
      </w:pPr>
      <w:r>
        <w:annotationRef/>
      </w:r>
      <w:r>
        <w:rPr>
          <w:rFonts w:eastAsia="Arial" w:cs="Times New Roman" w:ascii="Helvetica" w:hAnsi="Helvetica"/>
          <w:b w:val="false"/>
          <w:i w:val="false"/>
          <w:caps w:val="false"/>
          <w:smallCaps w:val="false"/>
          <w:strike w:val="false"/>
          <w:dstrike w:val="false"/>
          <w:color w:val="auto"/>
          <w:kern w:val="0"/>
          <w:position w:val="0"/>
          <w:sz w:val="20"/>
          <w:szCs w:val="20"/>
          <w:u w:val="none"/>
          <w:shd w:fill="auto" w:val="clear"/>
          <w:vertAlign w:val="baseline"/>
          <w:lang w:val="pl-PL" w:eastAsia="pl-PL" w:bidi="ar-SA"/>
        </w:rPr>
        <w:t>Podaj miejscowość, w której piszesz wniosek. Powinna to być miejscowość, którą wskazujesz jako miejsce zamieszkania.</w:t>
      </w:r>
    </w:p>
  </w:comment>
  <w:comment w:id="1" w:author="Karolina Gierdal" w:date="2024-03-28T18:05:25Z" w:initials="">
    <w:p>
      <w:pPr>
        <w:overflowPunct w:val="false"/>
        <w:bidi w:val="0"/>
        <w:spacing w:before="175" w:after="0" w:lineRule="auto" w:line="360"/>
        <w:ind w:left="178" w:right="178" w:hanging="0"/>
        <w:jc w:val="left"/>
        <w:rPr/>
      </w:pPr>
      <w:r>
        <w:annotationRef/>
      </w:r>
      <w:r>
        <w:rPr>
          <w:rFonts w:eastAsia="Arial" w:cs="Times New Roman" w:ascii="Helvetica" w:hAnsi="Helvetica"/>
          <w:b w:val="false"/>
          <w:i w:val="false"/>
          <w:caps w:val="false"/>
          <w:smallCaps w:val="false"/>
          <w:strike w:val="false"/>
          <w:dstrike w:val="false"/>
          <w:color w:val="auto"/>
          <w:kern w:val="0"/>
          <w:position w:val="0"/>
          <w:sz w:val="20"/>
          <w:szCs w:val="20"/>
          <w:u w:val="none"/>
          <w:shd w:fill="auto" w:val="clear"/>
          <w:vertAlign w:val="baseline"/>
          <w:lang w:val="pl-PL" w:eastAsia="pl-PL" w:bidi="ar-SA"/>
        </w:rPr>
        <w:t>Podaj datę, w której piszesz wniosek – nie musi to być data, w której ostatecznie wyślesz czy złożysz pismo w sądzie.</w:t>
      </w:r>
    </w:p>
  </w:comment>
  <w:comment w:id="2" w:author="Karolina Gierdal" w:date="2024-03-28T18:06:08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Wniosek wysyłasz do sądu rejonowego, który jest właściwy dla twojego miejsca zamieszkania. Miejsce zamieszkania to nie to samo co zameldowania, chodzi o miejsce, w którym masz swoje „centrum życiowe”. Czasem mogą to być sytuacje niejednoznaczne, np. mieszkasz w akademiku i jeździsz do rodziców w weekendy. Możesz wtedy zdecydować, które z tych miejsc jest ci bliższe i o którym myślisz jako o tym, gdzie mieszkasz.</w:t>
      </w:r>
    </w:p>
  </w:comment>
  <w:comment w:id="3" w:author="Karolina Gierdal" w:date="2025-06-05T12:30:38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Nie musisz precyzyjnie określać wydziału, do którego wnosisz wniosek. W większych sądach może być kilka wydziałów cywilnych, które dzielą się pracą według wewnętrznych reguł. Wystarczające jest więc wpisanie, że piszesz do wydziału cywilnego.</w:t>
      </w:r>
    </w:p>
  </w:comment>
  <w:comment w:id="4" w:author="Karolina Gierdal" w:date="2024-03-28T18:06:32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 praktyce nie ma problemu z użyciem feminatywu, ale jeśli nie chcesz go używać, możesz napisać "Wnioskodawca"</w:t>
      </w:r>
    </w:p>
  </w:comment>
  <w:comment w:id="5" w:author="Karolina Gierdal" w:date="2024-03-28T18:06:43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Wpisujesz swoje imię i nazwisko z dokumentów</w:t>
      </w:r>
    </w:p>
  </w:comment>
  <w:comment w:id="6" w:author="Karolina Gierdal" w:date="2024-03-28T18:07:00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Wpisz adres, pod którym faktycznie będziesz mogła odbierać korespondencję z sądu i który traktujesz jako miejsce swojego zamieszkania. To nie musi być adres zameldowania. Na tej podstawie sąd będzie sprawdzał czy jest właściwy do rozpoznania sprawy.</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Jeśli ustanawiasz pełnomocnika do doręczeń (np. dlatego, że mieszkasz za granicą), to w tym miejscu dopisz też:</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 xml:space="preserve">Pełnomocnik do doręczeń: </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XY [dane osoby, której udzielasz pełnomocnictwa]</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[adres osoby, której udzielasz pełnomocnictwa]</w:t>
      </w:r>
    </w:p>
  </w:comment>
  <w:comment w:id="7" w:author="Karolina Gierdal" w:date="2024-03-28T18:08:15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Ich podanie nie jest konieczne, ale może ułatwić kontakt z sądem.</w:t>
      </w:r>
    </w:p>
  </w:comment>
  <w:comment w:id="8" w:author="Karolina Gierdal" w:date="2025-06-05T12:16:03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Chodzi o nazwę miejscowości, w której działał urząd rejestrujący twoje urodzenie. Znajdziesz go na odpisie aktu urodzenia.</w:t>
      </w:r>
    </w:p>
  </w:comment>
  <w:comment w:id="9" w:author="Karolina Gierdal" w:date="2024-03-28T19:00:10Z" w:initials="">
    <w:p>
      <w:pPr>
        <w:overflowPunct w:val="true"/>
        <w:spacing w:lineRule="auto" w:line="360"/>
        <w:rPr/>
      </w:pPr>
      <w:r>
        <w:annotationRef/>
      </w:r>
      <w:r>
        <w:rPr>
          <w:rFonts w:eastAsia="Arial" w:cs="Times New Roman" w:ascii="Helvetica" w:hAnsi="Helvetica"/>
          <w:b w:val="false"/>
          <w:i w:val="false"/>
          <w:caps w:val="false"/>
          <w:smallCaps w:val="false"/>
          <w:strike w:val="false"/>
          <w:dstrike w:val="false"/>
          <w:color w:val="auto"/>
          <w:kern w:val="0"/>
          <w:position w:val="0"/>
          <w:sz w:val="20"/>
          <w:szCs w:val="20"/>
          <w:u w:val="none"/>
          <w:shd w:fill="auto" w:val="clear"/>
          <w:vertAlign w:val="baseline"/>
          <w:lang w:val="pl-PL" w:eastAsia="pl-PL" w:bidi="ar-SA"/>
        </w:rPr>
        <w:t>Podaj numer aktu urodzenia. W nowej procedurze ukształtowała się praktyka, by do wniosku dołączać zupełny odpis aktu urodzenia. Numer aktu znajdziesz na górze jako „oznaczenie aktu…”</w:t>
      </w:r>
    </w:p>
  </w:comment>
  <w:comment w:id="12" w:author="Karolina Gierdal" w:date="2026-05-04T21:55:46Z" w:initials="KG">
    <w:p>
      <w:pPr>
        <w:overflowPunct w:val="false"/>
        <w:bidi w:val="0"/>
        <w:spacing w:before="175" w:after="0" w:lineRule="auto" w:line="360"/>
        <w:ind w:left="178" w:right="178" w:hanging="0"/>
        <w:jc w:val="left"/>
        <w:rPr/>
      </w:pPr>
      <w:r>
        <w:annotationRef/>
      </w:r>
      <w:r>
        <w:rPr>
          <w:rFonts w:ascii="Helvetica" w:hAnsi="Helvetica" w:eastAsia="Arial" w:cs="Times New Roman"/>
          <w:b w:val="false"/>
          <w:i w:val="false"/>
          <w:caps w:val="false"/>
          <w:smallCaps w:val="false"/>
          <w:strike w:val="false"/>
          <w:dstrike w:val="false"/>
          <w:color w:val="auto"/>
          <w:kern w:val="0"/>
          <w:position w:val="0"/>
          <w:sz w:val="20"/>
          <w:szCs w:val="20"/>
          <w:u w:val="none"/>
          <w:shd w:fill="auto" w:val="clear"/>
          <w:vertAlign w:val="baseline"/>
          <w:lang w:val="pl-PL" w:eastAsia="pl-PL" w:bidi="ar-SA"/>
        </w:rPr>
        <w:t>Czy chcesz spróbować złożyć wniosek o zmianę imienia lub nazwiska? Niektóre sądy zgadzają się na to, by od razu sprostować też imię/imiona i nazwisko, jeśli jego końcówka wskazuje na płeć.</w:t>
      </w:r>
    </w:p>
    <w:p>
      <w:pPr>
        <w:overflowPunct w:val="false"/>
        <w:bidi w:val="0"/>
        <w:spacing w:before="56" w:after="0" w:lineRule="auto" w:line="240"/>
        <w:ind w:left="57" w:right="57" w:hanging="0"/>
        <w:jc w:val="left"/>
        <w:rPr/>
      </w:pPr>
      <w:r>
        <w:rPr/>
      </w:r>
    </w:p>
    <w:p>
      <w:pPr>
        <w:overflowPunct w:val="false"/>
        <w:bidi w:val="0"/>
        <w:spacing w:before="56" w:after="0" w:lineRule="auto" w:line="240"/>
        <w:ind w:left="57" w:right="57" w:hanging="0"/>
        <w:jc w:val="left"/>
        <w:rPr/>
      </w:pPr>
      <w:r>
        <w:rPr>
          <w:rFonts w:ascii="Arial" w:hAnsi="Arial" w:eastAsia="Arial" w:cs="Arial"/>
          <w:b w:val="false"/>
          <w:i w:val="false"/>
          <w:caps w:val="false"/>
          <w:smallCaps w:val="false"/>
          <w:strike w:val="false"/>
          <w:dstrike w:val="false"/>
          <w:color w:val="000000"/>
          <w:position w:val="0"/>
          <w:sz w:val="22"/>
          <w:szCs w:val="22"/>
          <w:u w:val="none"/>
          <w:shd w:fill="auto" w:val="clear"/>
          <w:vertAlign w:val="baseline"/>
        </w:rPr>
        <w:t>Jeśli masz już wcześniej zmienione imię, możesz to wykasować.</w:t>
      </w:r>
    </w:p>
    <w:p>
      <w:pPr>
        <w:overflowPunct w:val="false"/>
        <w:bidi w:val="0"/>
        <w:spacing w:before="56" w:after="0" w:lineRule="auto" w:line="240"/>
        <w:ind w:left="57" w:right="57" w:hanging="0"/>
        <w:jc w:val="left"/>
        <w:rPr/>
      </w:pPr>
      <w:r>
        <w:rPr/>
      </w:r>
    </w:p>
    <w:p>
      <w:pPr>
        <w:overflowPunct w:val="false"/>
        <w:bidi w:val="0"/>
        <w:spacing w:before="175" w:after="0" w:lineRule="auto" w:line="240"/>
        <w:ind w:left="178" w:right="178" w:hanging="0"/>
        <w:jc w:val="left"/>
        <w:rPr/>
      </w:pPr>
      <w:r>
        <w:rPr>
          <w:rFonts w:ascii="Arial" w:hAnsi="Arial" w:eastAsia="Arial" w:cs="Arial"/>
          <w:b w:val="false"/>
          <w:bCs w:val="false"/>
          <w:i w:val="false"/>
          <w:iCs w:val="false"/>
          <w:caps w:val="false"/>
          <w:smallCaps w:val="false"/>
          <w:strike w:val="false"/>
          <w:dstrike w:val="false"/>
          <w:outline w:val="false"/>
          <w:shadow w:val="false"/>
          <w:emboss w:val="false"/>
          <w:imprint w:val="false"/>
          <w:color w:val="000000"/>
          <w:spacing w:val="0"/>
          <w:w w:val="100"/>
          <w:kern w:val="0"/>
          <w:position w:val="0"/>
          <w:sz w:val="20"/>
          <w:szCs w:val="22"/>
          <w:u w:val="none"/>
          <w:shd w:fill="auto" w:val="clear"/>
          <w:vertAlign w:val="baseline"/>
          <w:em w:val="none"/>
          <w:lang w:val="pl-PL" w:eastAsia="pl-PL" w:bidi="ar-SA"/>
        </w:rPr>
        <w:t>Uwaga: argumentacja zawarta we wniosku dotyczy tylko sytuacji, w której obecne imię/imiona/nazwisko wskazują na płeć żeńską. Jeśli już wcześniej zmieniłeś imię na męskie lub neutralnie płciowo, a obecnie chcesz zmienić je ponownie, to musisz oddzielnie zawnioskować o to do Urzędu Stanu Cywilnego. To samo dotyczy sytuacji, w której chcesz zupełnie zmienić nazwisko na inne, a nie wyłącznie dostosować jego formę gramatyczną.</w:t>
      </w:r>
    </w:p>
  </w:comment>
  <w:comment w:id="10" w:author="Karolina Gierdal" w:date="2026-05-04T21:57:00Z" w:initials="KG">
    <w:p>
      <w:pPr>
        <w:overflowPunct w:val="false"/>
        <w:bidi w:val="0"/>
        <w:spacing w:before="175" w:after="0" w:lineRule="auto" w:line="360"/>
        <w:ind w:left="178" w:right="178" w:hanging="0"/>
        <w:jc w:val="left"/>
        <w:rPr/>
      </w:pPr>
      <w:r>
        <w:annotationRef/>
      </w:r>
      <w:r>
        <w:rPr>
          <w:rFonts w:ascii="Helvetica" w:hAnsi="Helvetica" w:eastAsia="Arial" w:cs="Times New Roman"/>
          <w:b w:val="false"/>
          <w:i w:val="false"/>
          <w:caps w:val="false"/>
          <w:smallCaps w:val="false"/>
          <w:strike w:val="false"/>
          <w:dstrike w:val="false"/>
          <w:color w:val="auto"/>
          <w:kern w:val="0"/>
          <w:position w:val="0"/>
          <w:sz w:val="20"/>
          <w:szCs w:val="20"/>
          <w:u w:val="none"/>
          <w:shd w:fill="auto" w:val="clear"/>
          <w:vertAlign w:val="baseline"/>
          <w:lang w:val="pl-PL" w:eastAsia="pl-PL" w:bidi="ar-SA"/>
        </w:rPr>
        <w:t>Czy chcesz spróbować złożyć wniosek o zmianę imienia lub nazwiska? Niektóre sądy zgadzają się na to, by od razu sprostować też imię/imiona i nazwisko, jeśli jego końcówka wskazuje na płeć.</w:t>
      </w:r>
    </w:p>
    <w:p>
      <w:pPr>
        <w:overflowPunct w:val="false"/>
        <w:bidi w:val="0"/>
        <w:spacing w:before="56" w:after="0" w:lineRule="auto" w:line="240"/>
        <w:ind w:left="57" w:right="57" w:hanging="0"/>
        <w:jc w:val="left"/>
        <w:rPr/>
      </w:pPr>
      <w:r>
        <w:rPr/>
      </w:r>
    </w:p>
    <w:p>
      <w:pPr>
        <w:overflowPunct w:val="false"/>
        <w:bidi w:val="0"/>
        <w:spacing w:before="56" w:after="0" w:lineRule="auto" w:line="240"/>
        <w:ind w:left="57" w:right="57" w:hanging="0"/>
        <w:jc w:val="left"/>
        <w:rPr/>
      </w:pPr>
      <w:r>
        <w:rPr>
          <w:rFonts w:ascii="Arial" w:hAnsi="Arial" w:eastAsia="Arial" w:cs="Arial"/>
          <w:b w:val="false"/>
          <w:i w:val="false"/>
          <w:caps w:val="false"/>
          <w:smallCaps w:val="false"/>
          <w:strike w:val="false"/>
          <w:dstrike w:val="false"/>
          <w:color w:val="000000"/>
          <w:position w:val="0"/>
          <w:sz w:val="22"/>
          <w:szCs w:val="22"/>
          <w:u w:val="none"/>
          <w:shd w:fill="auto" w:val="clear"/>
          <w:vertAlign w:val="baseline"/>
        </w:rPr>
        <w:t xml:space="preserve">Jeśli masz już wcześniej zmienione imię, możesz to wykasować. </w:t>
      </w:r>
    </w:p>
    <w:p>
      <w:pPr>
        <w:overflowPunct w:val="false"/>
        <w:bidi w:val="0"/>
        <w:spacing w:before="56" w:after="0" w:lineRule="auto" w:line="240"/>
        <w:ind w:left="57" w:right="57" w:hanging="0"/>
        <w:jc w:val="left"/>
        <w:rPr/>
      </w:pPr>
      <w:r>
        <w:rPr>
          <w:rFonts w:ascii="Arial" w:hAnsi="Arial" w:eastAsia="Arial" w:cs="Arial"/>
          <w:b w:val="false"/>
          <w:i w:val="false"/>
          <w:caps w:val="false"/>
          <w:smallCaps w:val="false"/>
          <w:strike w:val="false"/>
          <w:dstrike w:val="false"/>
          <w:color w:val="000000"/>
          <w:position w:val="0"/>
          <w:sz w:val="22"/>
          <w:szCs w:val="22"/>
          <w:u w:val="none"/>
          <w:shd w:fill="auto" w:val="clear"/>
          <w:vertAlign w:val="baseline"/>
        </w:rPr>
        <w:t xml:space="preserve"> </w:t>
      </w:r>
    </w:p>
    <w:p>
      <w:pPr>
        <w:overflowPunct w:val="false"/>
        <w:bidi w:val="0"/>
        <w:spacing w:before="175" w:after="0" w:lineRule="auto" w:line="240"/>
        <w:ind w:left="178" w:right="178" w:hanging="0"/>
        <w:jc w:val="left"/>
        <w:rPr/>
      </w:pPr>
      <w:r>
        <w:rPr>
          <w:rFonts w:ascii="Arial" w:hAnsi="Arial" w:eastAsia="Arial" w:cs="Arial"/>
          <w:b w:val="false"/>
          <w:bCs w:val="false"/>
          <w:i w:val="false"/>
          <w:iCs w:val="false"/>
          <w:caps w:val="false"/>
          <w:smallCaps w:val="false"/>
          <w:strike w:val="false"/>
          <w:dstrike w:val="false"/>
          <w:outline w:val="false"/>
          <w:shadow w:val="false"/>
          <w:emboss w:val="false"/>
          <w:imprint w:val="false"/>
          <w:color w:val="000000"/>
          <w:spacing w:val="0"/>
          <w:w w:val="100"/>
          <w:kern w:val="0"/>
          <w:position w:val="0"/>
          <w:sz w:val="20"/>
          <w:szCs w:val="22"/>
          <w:u w:val="none"/>
          <w:shd w:fill="auto" w:val="clear"/>
          <w:vertAlign w:val="baseline"/>
          <w:em w:val="none"/>
          <w:lang w:val="pl-PL" w:eastAsia="pl-PL" w:bidi="ar-SA"/>
        </w:rPr>
        <w:t>Uwaga: argumentacja zawarta we wniosku dotyczy tylko sytuacji, w której obecne imię/imiona/nazwisko wskazują na płeć męską. Jeśli już wcześniej zmieniłaś imię na żeńskie lub neutralnie płciowo, a obecnie chcesz zmienić je ponownie, to musisz oddzielnie zawnioskować o to do Urzędu Stanu Cywilnego. To samo dotyczy sytuacji, w której chcesz zupełnie zmienić nazwisko na inne, a nie wyłącznie dostosować jego formę gramatyczną.</w:t>
      </w:r>
    </w:p>
  </w:comment>
  <w:comment w:id="13" w:author="Karolina Gierdal" w:date="2025-06-05T13:52:45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ten fragment będzie przydatny jeśli masz nazwisko z końcówką wskazującą płeć</w:t>
      </w:r>
    </w:p>
  </w:comment>
  <w:comment w:id="14" w:author="Karolina Gierdal" w:date="2025-06-05T12:18:10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Celem tego wniosku jest doprowadzenie do sytuacji, w której po wpłynięciu wniosku, sąd rozpozna sprawę bez rozprawy i bez biegłego.</w:t>
      </w:r>
    </w:p>
  </w:comment>
  <w:comment w:id="15" w:author="Karolina Gierdal" w:date="2024-03-28T18:28:43Z" w:initials="">
    <w:p>
      <w:pPr>
        <w:overflowPunct w:val="true"/>
        <w:bidi w:val="0"/>
        <w:spacing w:before="238" w:after="198" w:lineRule="auto" w:line="360"/>
        <w:jc w:val="left"/>
        <w:rPr/>
      </w:pPr>
      <w:r>
        <w:annotationRef/>
      </w: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Jakimi dowodami dysponujesz? Niezbędne są: zupełny odpis aktu urodzenia, opinie: psychologiczna oraz zaświadczenie od lekarza psychiatry lub lekarza seksuologa oraz zalecenia Polskiego Towarzystwa Seksuologicznego. W zaleceniach PTS, do których sądy często się odwołują, wskazuje się, że diagnoza powinna być postawiona przez dwóch specjalistów: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1) lekarza ze specjalizacją z zakresu psychiatrii lub seksuologii;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2) psychologa, który: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a. posiada certyfikat seksuologa klinicznego LUB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b. ma specjalizację z zakresu psychologii klinicznej LUB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c. ma specjalizację z zakresu psychoseksuologii.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W związku z powyższym to, jakie opinie załączysz do sądu, będzie się różnić w zależności od tego, od jakiego specjalisty uzyskałaś diagnozę. Może być tak, że załączysz opinię seksuologa, psychiatry i psychologa, może być tak, że będziesz mieć tylko dwie opinie (np. seksuologiczną i psychologa-seksuologa). Uwaga – mało kto w Polsce spełnia wymagania dotyczące wykształcenia psychologów, również biegli, którzy są wyznaczani do spraw o sprostowanie. Psychologowie wystawiający opinie często podpisują się jako psycholog seksuolog lub psycholog kliniczny wyłącznie po skończeniu studiów podyplomowych, co nie jest tym samym co posiadanie certyfikatu lub wskazanych specjalizacji. Tak surowe wymagania są dość mocno krytykowane, a same zalecenia PTS wskazują, że są to preferencje, bez wykluczania innych specjalistów, zwłaszcza specjalistów pracujących z osobami transpłciowymi. Obserwujemy jednak, że coraz częściej sędziowie sprawdzają, czy opiniujący wystawiający prywatne opinie mają tak rygorystycznie określone kwalifikacje.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 </w:t>
      </w:r>
    </w:p>
    <w:p>
      <w:pPr>
        <w:overflowPunct w:val="true"/>
        <w:bidi w:val="0"/>
        <w:spacing w:before="238" w:after="198" w:lineRule="auto" w:line="360"/>
        <w:jc w:val="left"/>
        <w:rPr/>
      </w:pPr>
      <w:r>
        <w:rPr>
          <w:rFonts w:ascii="Helvetica;Arial" w:hAnsi="Helvetica;Arial" w:eastAsia="Arial" w:cs="Helvetica;Arial"/>
          <w:b w:val="false"/>
          <w:i w:val="false"/>
          <w:caps w:val="false"/>
          <w:smallCaps w:val="false"/>
          <w:strike w:val="false"/>
          <w:dstrike w:val="false"/>
          <w:color w:val="auto"/>
          <w:kern w:val="0"/>
          <w:position w:val="0"/>
          <w:sz w:val="24"/>
          <w:szCs w:val="24"/>
          <w:u w:val="none"/>
          <w:shd w:fill="auto" w:val="clear"/>
          <w:vertAlign w:val="baseline"/>
          <w:lang w:val="pl-PL" w:eastAsia="pl-PL" w:bidi="pl-PL"/>
        </w:rPr>
        <w:t>Inne dowody są opcjonalne – nie musisz załączać zaświadczeń o wdrożeniu terapii hormonalnej, zwłaszcza jeśli taka okoliczność wynika z załączonych opinii, decyzji o zmianie imienia/nazwiska (załączasz zupełny akt urodzenia, z którego to już wynika), dowodów na funkcjonowanie jako osoba transpłciowa, jak wydruki z portali społecznościowych, zdjęcia. Jeśli chcesz załączyć takie dowody, jest to możliwe, ale nie musisz.  </w:t>
      </w:r>
    </w:p>
    <w:p>
      <w:pPr>
        <w:overflowPunct w:val="true"/>
        <w:bidi w:val="0"/>
        <w:spacing w:before="238" w:after="198" w:lineRule="auto" w:line="360"/>
        <w:jc w:val="left"/>
        <w:rPr/>
      </w:pPr>
      <w:r>
        <w:rPr>
          <w:sz w:val="20"/>
          <w:szCs w:val="20"/>
        </w:rPr>
      </w:r>
    </w:p>
  </w:comment>
  <w:comment w:id="16" w:author="Karolina Gierdal" w:date="2024-03-28T18:29:29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 zaleceniach PTS, do których sądy często sięgają, wskazuje się, że diagnoza powinna być postawiona przez dwóch specjalistów:</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1) lekarza ze specjalizacją z zakresu psychiatrii lub seksuologii;</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2) psychologa, który:</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a. posiada certyfikat seksuologa klinicznego LUB</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b. ma specjalizację z zakresu psychologii klinicznej LUB</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c. ma specjalizację z zakresu psychoseksuologii.</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 związku z powyższym to, jakie opinie załączysz do sądu, będzie się różnić w zależności od tego, od jakiego specjalisty uzyskałaś diagnozę. Może być tak, że załączysz opinię seksuologa, psychiatry i psychologa, może być tak, że będziesz mieć tylko dwie opinie (np. seksuologiczną i psychologa-seksuologa). Dostosuj treść załączników do dokumentów, którymi dysponujesz.</w:t>
      </w:r>
    </w:p>
  </w:comment>
  <w:comment w:id="17" w:author="Karolina Gierdal" w:date="2024-03-28T18:29:49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Obecnie coraz częściej można spotkać opinie, w których pojawia się rozpoznanie w oparciu o ICD-11, czasem łącznie z rozpoznaniem z ICD-10, a czasem z pominięciem starej klasyfikacji. Sprawdź, jakie rozpoznanie wpisano do twojej opinii, i w razie potrzeby wykreśl rozpoznanie F64.0 lub HA60.</w:t>
      </w:r>
    </w:p>
  </w:comment>
  <w:comment w:id="18" w:author="Karolina Gierdal" w:date="2024-03-28T18:30:40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 zaleceniach PTS, do których sądy często sięgają, wskazuje się, że diagnoza powinna być postawiona przez dwóch specjalistów:</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1) lekarza ze specjalizacją z zakresu psychiatrii lub seksuologii;</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2) psychologa, który:</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a. posiada certyfikat seksuologa klinicznego LUB</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b. ma specjalizację z zakresu psychologii klinicznej LUB</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c. ma specjalizację z zakresu psychoseksuologii.</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 związku z powyższym to, jakie opinie załączysz do sądu, będzie się różnić w zależności od tego, od jakiego specjalisty uzyskałaś diagnozę. Może być tak, że załączysz opinię seksuologa, psychiatry i psychologa, może być tak, że będziesz mieć tylko dwie opinie (np. seksuologiczną i psychologa-seksuologa). Dostosuj treść załączników do dokumentów, którymi dysponujesz.</w:t>
      </w:r>
    </w:p>
  </w:comment>
  <w:comment w:id="19" w:author="Karolina Gierdal" w:date="2024-03-28T18:31:02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Nie jest to niezbędne, ale jeśli dysponujesz takim dokumentem, warto go załączyć.</w:t>
      </w:r>
    </w:p>
  </w:comment>
  <w:comment w:id="20" w:author="Karolina Gierdal" w:date="2024-03-28T18:31:33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Jeśli przed złożeniem wniosku zmieniałaś imię, to dobrze jest załączyć decyzję jako jeden z dowodów na trwałość poczucia przynależności do płci żeńskiej. Alternatywnie możesz załączyć zupełny odpis aktu urodzenia. Z pełnej wersji aktu, w przeciwieństwie do skróconej, wynika m.in. zmiana imienia.</w:t>
      </w:r>
    </w:p>
  </w:comment>
  <w:comment w:id="21" w:author="Karolina Gierdal" w:date="2024-03-28T18:32:06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Jeśli przed złożeniem wniosku zmieniałeś imię, to dobrze jest załączyć decyzję jako jeden z dowodów na trwałość poczucia przynależności do płci żeńskiej. Nie jest to konieczne. Jeśli nie jesteś pewna co załączyć, śmiało możesz to zignorować.</w:t>
      </w:r>
    </w:p>
  </w:comment>
  <w:comment w:id="22" w:author="Karolina Gierdal" w:date="2024-03-28T18:35:28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Jest to bardzo obszerny dokument, ale warto go załączyć,  także po zmianie procedury. Koszty można ograniczyć, drukując 4 strony tekstu na jednej stronie arkusza papieru dwustronnie. Publikacja jest wtedy dalej czytelna, a szansa na to, że sąd się z nią zapozna, zwłaszcza jeśli sędzia nie miał/a wcześniej do czynienia ze sprawą o ustalenie płci, zwiększa się.</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Uwaga – w 2024 r. wyszła nowa wersja przewodnika, zawierająca m.in. jednoznaczne zalecenia, by nie powoływać biegłego czy rozpoznawać sprawy na posiedzeniach niejawnych, bez wyznaczania rozprawy. Upewnij się, że drukujesz właściwą edycję przewodnika (zwróć uwagę na różnice w tytule, nowa wersja to: „Postępowania w sprawach o uzgodnienie płci. Przewodnik”, podczas gdy stara wersja zatytułowana była: „Postępowania w sprawach o ustalenie płci. Przewodnik dla sędziów i pełnomocników”).</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Teoretycznie wystarczy podanie linku, ale bezpieczniej jest wydrukować, ponieważ nie wiesz na jakiego sędziego trafisz.</w:t>
      </w:r>
    </w:p>
  </w:comment>
  <w:comment w:id="23" w:author="Karolina Gierdal" w:date="2024-03-28T18:37:00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Taki fragment nie jest konieczny, możesz nie chcieć używać żeńskich form gramatycznych czy ujawniać sądowi imienia, jakim się posługujesz.</w:t>
      </w:r>
    </w:p>
  </w:comment>
  <w:comment w:id="24" w:author="Karolina Gierdal" w:date="2024-03-28T18:37:29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 tym fragmencie należy przedstawić najbardziej podstawowe fakty dotyczące swojej tranzycji medycznej i społecznej. Nie jest konieczne szczegółowe opisywanie swojego życia czy rozpisywanie się na temat dzieciństwa. Zalecane jest, by w tym fragmencie pojawiły się informacje o:</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 miejscu i dacie urodzenia;</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 okresie, gdy wykształciła się u ciebie świadomość żeńskiej tożsamości płciowej;</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 przebiegu twojej tranzycji medycznej;</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 tranzycji społecznej (w jakich obszarach funkcjonujesz jako osoba kobieca);</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 trudnościach, jakie powoduje brak zmiany oznaczenia płci/imienia.</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Poniżej pokazujemy przykładowy opis tej części, możesz też go wykorzystać i dostosować do swoich potrzeb.</w:t>
      </w:r>
    </w:p>
  </w:comment>
  <w:comment w:id="25" w:author="Karolina Gierdal" w:date="2024-03-28T18:37:54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USC, w którym sporządzono akt.</w:t>
      </w:r>
    </w:p>
  </w:comment>
  <w:comment w:id="26" w:author="Karolina Gierdal" w:date="2024-03-28T18:38:05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Data twojego urodzenia.</w:t>
      </w:r>
    </w:p>
  </w:comment>
  <w:comment w:id="27" w:author="Karolina Gierdal" w:date="2024-03-28T18:38:16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Numer aktu urodzenia.</w:t>
      </w:r>
    </w:p>
  </w:comment>
  <w:comment w:id="28" w:author="Karolina Gierdal" w:date="2025-06-05T12:39:45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imię/imiona z aktu urodzenia</w:t>
      </w:r>
    </w:p>
  </w:comment>
  <w:comment w:id="29" w:author="Karolina Gierdal" w:date="2024-03-28T18:38:49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Jest to tylko przykład. Nie ma konieczności ujawniania intymnych szczegółów ze swojego życia. Jednak jeśli w opiniach powiązano poprawę stanu psychicznego z wdrożeniem terapii hormonalnej lub uzyskaniem diagnozy, warto rozważyć wpisanie tego ostatniego zdania.</w:t>
      </w:r>
    </w:p>
  </w:comment>
  <w:comment w:id="30" w:author="Karolina Gierdal" w:date="2024-03-28T18:39:02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 niektórych opiniach stosuje się już ICD-11.</w:t>
      </w:r>
    </w:p>
  </w:comment>
  <w:comment w:id="31" w:author="Karolina Gierdal" w:date="2024-03-28T18:39:12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Dostosuj ten fragment do posiadanych opinii.</w:t>
      </w:r>
    </w:p>
  </w:comment>
  <w:comment w:id="32" w:author="Karolina Gierdal" w:date="2025-06-05T12:52:41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Jeśli psycholog, u którego byłaś pracuje w quasi modelu świadomej zgody, prawdopodobnie nie poddano cię żadnym badaniom psychologicznym, więc ten fragment możesz wykreślić.</w:t>
      </w:r>
    </w:p>
  </w:comment>
  <w:comment w:id="33" w:author="Karolina Gierdal" w:date="2025-06-09T12:57:52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Wpisz od kiedy jesteś w hormonoterapii. To nie musi być dokładny dzień, warto wpisać miesiąc i rok.</w:t>
      </w:r>
    </w:p>
  </w:comment>
  <w:comment w:id="34" w:author="Karolina Gierdal" w:date="2025-06-09T13:14:21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Dostosuj do swojej sytuacji.</w:t>
      </w:r>
    </w:p>
  </w:comment>
  <w:comment w:id="35" w:author="Karolina Gierdal" w:date="2024-03-28T18:39:33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Tu wpisz swoje używane imię.</w:t>
      </w:r>
    </w:p>
  </w:comment>
  <w:comment w:id="36" w:author="Karolina Gierdal" w:date="2026-05-04T20:19:58Z" w:initials="KG">
    <w:p>
      <w:pPr>
        <w:overflowPunct w:val="false"/>
        <w:bidi w:val="0"/>
        <w:spacing w:before="175" w:after="0" w:lineRule="auto" w:line="360"/>
        <w:ind w:left="178" w:right="178" w:hanging="0"/>
        <w:jc w:val="left"/>
        <w:rPr/>
      </w:pPr>
      <w:r>
        <w:annotationRef/>
      </w:r>
      <w:r>
        <w:rPr>
          <w:rFonts w:eastAsia="Arial" w:cs="Times New Roman" w:ascii="Helvetica" w:hAnsi="Helvetica"/>
          <w:color w:val="auto"/>
          <w:kern w:val="0"/>
          <w:sz w:val="20"/>
          <w:szCs w:val="20"/>
          <w:lang w:val="pl-PL" w:eastAsia="pl-PL" w:bidi="ar-SA"/>
        </w:rPr>
        <w:t>Proponowany przez nas wzór wniosku zawiera obszerne uzasadnienie prawne. Znane są nam głosy, że sędziowie nie chcą czytać długich wniosków i że może to wpłynąć negatywnie na szybkość postępowania. W praktyce nic takiego nie ma miejsca. Wniosek wyraźnie wyodrębnia część uzasadnienia, która dotyczy twojej indywidualnej sytuacji, od ogólnych uwag o stanie prawnym i uzasadnienia poszczególnych wniosków. Jeśli sąd będzie już znać ten wzór, to po prostu pominie kolejny raz czytanie tego samego fragmentu. Jednocześnie, jeśli w danym sądzie takich spraw jeszcze nie było lub dla sędziego jest to pierwsza taka sprawa, szczegółowa rozpiska z odwołaniem do źródeł może i będzie dla sądu pomocna przy decydowaniu jak ma działać. W Polsce działa 47 sądów okręgowych i aż 318 sądów rejonowych. Prawdopodobieństwo trafienia do sądu lub sędziego, którzy nie spotkali się nigdy z podobną sprawą jest więc dużo większa, niż przy poprzedniej procedurze.</w:t>
      </w:r>
    </w:p>
  </w:comment>
  <w:comment w:id="37" w:author="Karolina Gierdal" w:date="2025-06-05T13:36:07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Fragment wzoru opracowany przez r. pr. Damiana Ruhma</w:t>
      </w:r>
    </w:p>
  </w:comment>
  <w:comment w:id="38" w:author="Karolina Gierdal" w:date="2025-06-05T13:36:24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Fragment wzoru opracowany przez adw. Mikołaja Świstowskiego</w:t>
      </w:r>
    </w:p>
  </w:comment>
  <w:comment w:id="39" w:author="Karolina Gierdal" w:date="2025-06-09T13:15:51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 xml:space="preserve">W zależności od tego, o co wnioskujesz, możesz tu wpisać "w przedmiocie imienia/imion i nazwiska". Jeśli nie wnosisz o zmianę nazwiska, zostaw tylko fragment o imieniu. </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Jeśli masz już wcześniej zmienione imię lub nazwisko w procedurze przed USC, to wykasuj ten fragment uzasadnienia.</w:t>
      </w:r>
    </w:p>
  </w:comment>
  <w:comment w:id="40" w:author="Karolina Gierdal" w:date="2023-06-30T17:25:21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Podpis musi być własnoręczny. Jeśli twój podpis nie jest czytelny, warto w tym miejscu wpisać swoje imię i nazwisko, a przy nich umieścić swój podpis. Należy podpisać się zgodnie z danymi urzędowymi.</w:t>
      </w:r>
    </w:p>
  </w:comment>
  <w:comment w:id="41" w:author="Karolina Gierdal" w:date="2024-03-28T18:57:24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Dobrą praktyką jest ponumerowanie załączników zgodnie z kolejnością wymienioną w tym miejscu pozwu. Oryginał pozwu i jego odpisy należy włożyć do jednej koperty i nadać listem poleconym. Możesz też złożyć pozew bezpośrednio w biurze podawczym w budynku sądu. Warto wtedy mieć kopię pozwu dla siebie, na której osoba w sądzie przybije tzw. prezentatę na potwierdzenie złożenia pozwu konkretnego dnia.</w:t>
      </w:r>
    </w:p>
  </w:comment>
  <w:comment w:id="42" w:author="Karolina Gierdal" w:date="2024-03-28T18:57:42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Opłata sądowa może być przez ciebie zapłacona na trzy sposoby:</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1. bezpośrednio na konto sądu, do którego wnosisz pozew; takie informacje znajdziesz na stronie internetowej sądu;</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2. bezpośrednio w kasie sądu, ale musisz wtedy pojawić się osobiście w budynku sądu w godzinach jego pracy;</w:t>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3. na stronie https://oplaty.ms.gov.pl/znaki-oplaty-sadowej/zakup.</w:t>
      </w:r>
    </w:p>
    <w:p>
      <w:pPr>
        <w:overflowPunct w:val="false"/>
        <w:spacing w:lineRule="auto" w:line="240"/>
        <w:rPr/>
      </w:pPr>
      <w:r>
        <w:rPr/>
      </w:r>
    </w:p>
    <w:p>
      <w:pPr>
        <w:overflowPunct w:val="false"/>
        <w:spacing w:lineRule="auto" w:line="240"/>
        <w:rPr/>
      </w:pP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Bez względu na formę zapłaty, dowód jej uiszczenia musisz załączyć do pozwu, o ile nie występujesz o zwolnienie od kosztów.</w:t>
      </w:r>
    </w:p>
  </w:comment>
  <w:comment w:id="43" w:author="Karolina Gierdal" w:date="2024-03-28T18:58:11Z" w:initials="">
    <w:p>
      <w:pPr>
        <w:overflowPunct w:val="false"/>
        <w:spacing w:lineRule="auto" w:line="24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Dostosuj te załączniki do posiadanych opinii.</w:t>
      </w:r>
    </w:p>
  </w:comment>
  <w:comment w:id="44" w:author="Karolina Gierdal" w:date="2026-05-04T20:28:51Z" w:initials="KG">
    <w:p>
      <w:pPr>
        <w:overflowPunct w:val="false"/>
        <w:spacing w:before="175" w:after="0" w:lineRule="auto" w:line="240"/>
        <w:ind w:left="178" w:right="178" w:hanging="0"/>
        <w:rPr/>
      </w:pPr>
      <w:r>
        <w:annotationRef/>
      </w:r>
      <w:r>
        <w:rPr>
          <w:rFonts w:eastAsia="Arial" w:cs="Arial" w:ascii="Arial" w:hAnsi="Arial"/>
          <w:b w:val="false"/>
          <w:i w:val="false"/>
          <w:caps w:val="false"/>
          <w:smallCaps w:val="false"/>
          <w:strike w:val="false"/>
          <w:dstrike w:val="false"/>
          <w:color w:val="000000"/>
          <w:position w:val="0"/>
          <w:sz w:val="22"/>
          <w:szCs w:val="22"/>
          <w:u w:val="none"/>
          <w:shd w:fill="auto" w:val="clear"/>
          <w:vertAlign w:val="baseline"/>
        </w:rPr>
        <w:t>Tak, to strasznie słabe, że trzeba to drukować w całości, ale warto.</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Arial">
    <w:charset w:val="ee"/>
    <w:family w:val="swiss"/>
    <w:pitch w:val="variable"/>
  </w:font>
  <w:font w:name="Liberation Sans">
    <w:altName w:val="Arial"/>
    <w:charset w:val="ee"/>
    <w:family w:val="swiss"/>
    <w:pitch w:val="variable"/>
  </w:font>
  <w:font w:name="Times New Roman">
    <w:charset w:val="ee"/>
    <w:family w:val="roman"/>
    <w:pitch w:val="variable"/>
  </w:font>
  <w:font w:name="Arial">
    <w:charset w:val="01"/>
    <w:family w:val="swiss"/>
    <w:pitch w:val="variable"/>
  </w:font>
  <w:font w:name="Helvetica">
    <w:altName w:val="Arial"/>
    <w:charset w:val="ee"/>
    <w:family w:val="roman"/>
    <w:pitch w:val="variable"/>
  </w:font>
  <w:font w:name="Helvetica">
    <w:altName w:val="Arial"/>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1"/>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p>
  </w:footnote>
  <w:footnote w:id="1" w:type="continuationSeparator">
    <w:p>
      <w:r/>
    </w:p>
  </w:footnote>
  <w:footnote w:id="2">
    <w:p>
      <w:pPr>
        <w:pStyle w:val="normal1"/>
        <w:spacing w:lineRule="auto" w:line="240"/>
        <w:rPr>
          <w:rFonts w:ascii="Times New Roman" w:hAnsi="Times New Roman" w:eastAsia="Times New Roman" w:cs="Times New Roman"/>
          <w:sz w:val="20"/>
          <w:szCs w:val="20"/>
        </w:rPr>
      </w:pPr>
      <w:r>
        <w:rPr>
          <w:rStyle w:val="Znakiprzypiswdolnych"/>
        </w:rPr>
        <w:footnoteRef/>
      </w:r>
      <w:r>
        <w:rPr>
          <w:rFonts w:eastAsia="Times New Roman" w:cs="Times New Roman" w:ascii="Times New Roman" w:hAnsi="Times New Roman"/>
          <w:sz w:val="20"/>
          <w:szCs w:val="20"/>
        </w:rPr>
        <w:t xml:space="preserve"> </w:t>
      </w:r>
      <w:r>
        <w:rPr>
          <w:rFonts w:eastAsia="Times New Roman" w:cs="Times New Roman" w:ascii="Times New Roman" w:hAnsi="Times New Roman"/>
          <w:sz w:val="18"/>
          <w:szCs w:val="18"/>
        </w:rPr>
        <w:t>Skrót ustnego uzasadnienia został opublikowany na stronie SN w części zawierającej komunikaty: https://www.sn.pl/aktualnosci/SitePages/Komunikaty_o_sprawach.aspx?ItemSID=695-b6b3e804-2752-4c7d-bcb4-7586782a1315&amp;ListName=Komunikaty_o_sprawach</w:t>
      </w:r>
    </w:p>
  </w:footnote>
  <w:footnote w:id="3">
    <w:p>
      <w:pPr>
        <w:pStyle w:val="normal1"/>
        <w:spacing w:lineRule="auto" w:line="240"/>
        <w:rPr>
          <w:rFonts w:ascii="Times New Roman" w:hAnsi="Times New Roman" w:eastAsia="Times New Roman" w:cs="Times New Roman"/>
          <w:sz w:val="16"/>
          <w:szCs w:val="16"/>
        </w:rPr>
      </w:pPr>
      <w:r>
        <w:rPr>
          <w:rStyle w:val="Znakiprzypiswdolnych"/>
        </w:rPr>
        <w:footnoteRef/>
      </w:r>
      <w:r>
        <w:rPr>
          <w:rFonts w:eastAsia="Times New Roman" w:cs="Times New Roman" w:ascii="Times New Roman" w:hAnsi="Times New Roman"/>
          <w:sz w:val="16"/>
          <w:szCs w:val="16"/>
        </w:rPr>
        <w:t xml:space="preserve"> </w:t>
      </w:r>
      <w:r>
        <w:rPr>
          <w:rFonts w:eastAsia="Times New Roman" w:cs="Times New Roman" w:ascii="Times New Roman" w:hAnsi="Times New Roman"/>
          <w:sz w:val="16"/>
          <w:szCs w:val="16"/>
        </w:rPr>
        <w:t>Wątpliwości te wynikają przede wszystkim z uchwały trzech Izb Sądu Najwyższego z 23.01.2020 r. (BSA-I-4110-1/2020), a także późniejszego orzecznictwa Trybunału Sprawiedliwości Unii Europejskiej czy Europejskiego Trybunału Praw Człowieka, w których wskazuje się na wpływ takiej nominacji na ocenę bezstronności i niezawisłości sędziego i w konsekwencji – wpływ na ważność wydanego orzeczenia. Również wszystkie obecnie projektowane ustawy dotyczące funkcjonowania sądownictwa przewidują, że orzeczenia wydane przez SN w składach, w których zasiadali tak powołani sędziowie, będą nieważne.</w:t>
      </w:r>
    </w:p>
  </w:footnote>
  <w:footnote w:id="4">
    <w:p>
      <w:pPr>
        <w:pStyle w:val="normal1"/>
        <w:spacing w:lineRule="auto" w:line="240"/>
        <w:rPr>
          <w:sz w:val="20"/>
          <w:szCs w:val="20"/>
        </w:rPr>
      </w:pPr>
      <w:r>
        <w:rPr>
          <w:rStyle w:val="Znakiprzypiswdolnych"/>
        </w:rPr>
        <w:footnoteRef/>
      </w:r>
      <w:r>
        <w:rPr>
          <w:rFonts w:eastAsia="Times New Roman" w:cs="Times New Roman" w:ascii="Times New Roman" w:hAnsi="Times New Roman"/>
          <w:sz w:val="16"/>
          <w:szCs w:val="16"/>
        </w:rPr>
        <w:t xml:space="preserve"> </w:t>
      </w:r>
      <w:r>
        <w:rPr>
          <w:rFonts w:eastAsia="Times New Roman" w:cs="Times New Roman" w:ascii="Times New Roman" w:hAnsi="Times New Roman"/>
          <w:sz w:val="16"/>
          <w:szCs w:val="16"/>
        </w:rPr>
        <w:t>Zalecenie CM/Rec(2010)5 Komitetu Ministrów dla Państw Członkowskich w zakresie środków zwalczania dyskryminacji opartej na orientacji seksualnej lub tożsamości płciowej. Tłumaczenie oficjalne Ministerstwa Sprawiedliwości za:</w:t>
      </w:r>
      <w:hyperlink r:id="rId1">
        <w:r>
          <w:rPr>
            <w:rStyle w:val="Hyperlink"/>
            <w:rFonts w:eastAsia="Times New Roman" w:cs="Times New Roman" w:ascii="Times New Roman" w:hAnsi="Times New Roman"/>
            <w:sz w:val="16"/>
            <w:szCs w:val="16"/>
          </w:rPr>
          <w:t xml:space="preserve"> </w:t>
        </w:r>
      </w:hyperlink>
      <w:hyperlink r:id="rId2">
        <w:r>
          <w:rPr>
            <w:rStyle w:val="Hyperlink"/>
            <w:rFonts w:eastAsia="Times New Roman" w:cs="Times New Roman" w:ascii="Times New Roman" w:hAnsi="Times New Roman"/>
            <w:color w:val="1155CC"/>
            <w:sz w:val="16"/>
            <w:szCs w:val="16"/>
            <w:u w:val="single"/>
          </w:rPr>
          <w:t>https://arch-bip.ms.gov.pl/pl/prawa-czlowieka/inne-organizacje-miedzynarodowe-i-prawa-czlowieka/prawa-czlowieka-w-radzie-europy-/download,2254,3.html</w:t>
        </w:r>
      </w:hyperlink>
      <w:r>
        <w:rPr>
          <w:rFonts w:eastAsia="Times New Roman" w:cs="Times New Roman" w:ascii="Times New Roman" w:hAnsi="Times New Roman"/>
          <w:sz w:val="16"/>
          <w:szCs w:val="16"/>
        </w:rPr>
        <w:t xml:space="preserve">: „Państwa członkowskie powinny przyjąć odpowiednie środki gwarantujące pełne prawne uznanie zmiany płci we wszystkich dziedzinach życia, w szczególności poprzez umożliwienie zmiany imienia, nazwiska i płci w oficjalnych dokumentach w </w:t>
      </w:r>
      <w:r>
        <w:rPr>
          <w:rFonts w:eastAsia="Times New Roman" w:cs="Times New Roman" w:ascii="Times New Roman" w:hAnsi="Times New Roman"/>
          <w:b/>
          <w:sz w:val="16"/>
          <w:szCs w:val="16"/>
        </w:rPr>
        <w:t>sposób szybki, przejrzysty i dostępny</w:t>
      </w:r>
      <w:r>
        <w:rPr>
          <w:rFonts w:eastAsia="Times New Roman" w:cs="Times New Roman" w:ascii="Times New Roman" w:hAnsi="Times New Roman"/>
          <w:sz w:val="16"/>
          <w:szCs w:val="16"/>
        </w:rPr>
        <w:t xml:space="preserve">; państwa członkowskie powinny także zagwarantować, tam gdzie jest to wskazane, odpowiednie uznanie lub wprowadzenie zmian w kluczowych dokumentach wydawanych przez podmioty niepaństwowe [...]”. </w:t>
      </w:r>
    </w:p>
  </w:footnote>
  <w:footnote w:id="5">
    <w:p>
      <w:pPr>
        <w:pStyle w:val="normal1"/>
        <w:spacing w:lineRule="auto" w:line="240"/>
        <w:rPr>
          <w:rFonts w:ascii="Times New Roman" w:hAnsi="Times New Roman" w:eastAsia="Times New Roman" w:cs="Times New Roman"/>
          <w:sz w:val="16"/>
          <w:szCs w:val="16"/>
        </w:rPr>
      </w:pPr>
      <w:r>
        <w:rPr>
          <w:rStyle w:val="Znakiprzypiswdolnych"/>
        </w:rPr>
        <w:footnoteRef/>
      </w:r>
      <w:r>
        <w:rPr>
          <w:rFonts w:eastAsia="Times New Roman" w:cs="Times New Roman" w:ascii="Times New Roman" w:hAnsi="Times New Roman"/>
          <w:sz w:val="16"/>
          <w:szCs w:val="16"/>
        </w:rPr>
        <w:t xml:space="preserve"> </w:t>
      </w:r>
      <w:r>
        <w:rPr>
          <w:rFonts w:eastAsia="Times New Roman" w:cs="Times New Roman" w:ascii="Times New Roman" w:hAnsi="Times New Roman"/>
          <w:i/>
          <w:sz w:val="16"/>
          <w:szCs w:val="16"/>
        </w:rPr>
        <w:t xml:space="preserve">ECRI General Policy Recommendation no. 17 on preventing and combating intolerance and discrimination against LGBTI persons, </w:t>
      </w:r>
      <w:r>
        <w:rPr>
          <w:rFonts w:eastAsia="Times New Roman" w:cs="Times New Roman" w:ascii="Times New Roman" w:hAnsi="Times New Roman"/>
          <w:sz w:val="16"/>
          <w:szCs w:val="16"/>
        </w:rPr>
        <w:t>zalecenie przyjęte dnia 28.06.2023 r., CRI(2023)30.</w:t>
      </w:r>
    </w:p>
  </w:footnote>
  <w:footnote w:id="6">
    <w:p>
      <w:pPr>
        <w:pStyle w:val="normal1"/>
        <w:spacing w:lineRule="auto" w:line="240"/>
        <w:rPr>
          <w:rFonts w:ascii="Times New Roman" w:hAnsi="Times New Roman" w:eastAsia="Times New Roman" w:cs="Times New Roman"/>
          <w:sz w:val="16"/>
          <w:szCs w:val="16"/>
        </w:rPr>
      </w:pPr>
      <w:r>
        <w:rPr>
          <w:rStyle w:val="Znakiprzypiswdolnych"/>
        </w:rPr>
        <w:footnoteRef/>
      </w:r>
      <w:r>
        <w:rPr>
          <w:rFonts w:eastAsia="Times New Roman" w:cs="Times New Roman" w:ascii="Times New Roman" w:hAnsi="Times New Roman"/>
          <w:sz w:val="16"/>
          <w:szCs w:val="16"/>
        </w:rPr>
        <w:t xml:space="preserve"> </w:t>
      </w:r>
      <w:r>
        <w:rPr>
          <w:rFonts w:eastAsia="Times New Roman" w:cs="Times New Roman" w:ascii="Times New Roman" w:hAnsi="Times New Roman"/>
          <w:sz w:val="16"/>
          <w:szCs w:val="16"/>
        </w:rPr>
        <w:t>Raport IE SOGI z wizytacji w Gruzji, A/HRC/41/45/Add.1, § 68.</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2">
    <w:lvl w:ilvl="0">
      <w:start w:val="1"/>
      <w:numFmt w:val="decimal"/>
      <w:lvlText w:val="%1."/>
      <w:lvlJc w:val="left"/>
      <w:pPr>
        <w:tabs>
          <w:tab w:val="num" w:pos="0"/>
        </w:tabs>
        <w:ind w:left="720" w:hanging="360"/>
      </w:pPr>
      <w:rPr>
        <w:u w:val="none"/>
      </w:rPr>
    </w:lvl>
    <w:lvl w:ilvl="1">
      <w:start w:val="1"/>
      <w:numFmt w:val="lowerLetter"/>
      <w:lvlText w:val="%2."/>
      <w:lvlJc w:val="left"/>
      <w:pPr>
        <w:tabs>
          <w:tab w:val="num" w:pos="0"/>
        </w:tabs>
        <w:ind w:left="1440" w:hanging="360"/>
      </w:pPr>
      <w:rPr>
        <w:u w:val="none"/>
      </w:rPr>
    </w:lvl>
    <w:lvl w:ilvl="2">
      <w:start w:val="1"/>
      <w:numFmt w:val="lowerRoman"/>
      <w:lvlText w:val="%3."/>
      <w:lvlJc w:val="right"/>
      <w:pPr>
        <w:tabs>
          <w:tab w:val="num" w:pos="0"/>
        </w:tabs>
        <w:ind w:left="2160" w:hanging="360"/>
      </w:pPr>
      <w:rPr>
        <w:u w:val="none"/>
      </w:rPr>
    </w:lvl>
    <w:lvl w:ilvl="3">
      <w:start w:val="1"/>
      <w:numFmt w:val="decimal"/>
      <w:lvlText w:val="%4."/>
      <w:lvlJc w:val="left"/>
      <w:pPr>
        <w:tabs>
          <w:tab w:val="num" w:pos="0"/>
        </w:tabs>
        <w:ind w:left="2880" w:hanging="360"/>
      </w:pPr>
      <w:rPr>
        <w:u w:val="none"/>
      </w:rPr>
    </w:lvl>
    <w:lvl w:ilvl="4">
      <w:start w:val="1"/>
      <w:numFmt w:val="lowerLetter"/>
      <w:lvlText w:val="%5."/>
      <w:lvlJc w:val="left"/>
      <w:pPr>
        <w:tabs>
          <w:tab w:val="num" w:pos="0"/>
        </w:tabs>
        <w:ind w:left="3600" w:hanging="360"/>
      </w:pPr>
      <w:rPr>
        <w:u w:val="none"/>
      </w:rPr>
    </w:lvl>
    <w:lvl w:ilvl="5">
      <w:start w:val="1"/>
      <w:numFmt w:val="lowerRoman"/>
      <w:lvlText w:val="%6."/>
      <w:lvlJc w:val="right"/>
      <w:pPr>
        <w:tabs>
          <w:tab w:val="num" w:pos="0"/>
        </w:tabs>
        <w:ind w:left="4320" w:hanging="360"/>
      </w:pPr>
      <w:rPr>
        <w:u w:val="none"/>
      </w:rPr>
    </w:lvl>
    <w:lvl w:ilvl="6">
      <w:start w:val="1"/>
      <w:numFmt w:val="decimal"/>
      <w:lvlText w:val="%7."/>
      <w:lvlJc w:val="left"/>
      <w:pPr>
        <w:tabs>
          <w:tab w:val="num" w:pos="0"/>
        </w:tabs>
        <w:ind w:left="5040" w:hanging="360"/>
      </w:pPr>
      <w:rPr>
        <w:u w:val="none"/>
      </w:rPr>
    </w:lvl>
    <w:lvl w:ilvl="7">
      <w:start w:val="1"/>
      <w:numFmt w:val="lowerLetter"/>
      <w:lvlText w:val="%8."/>
      <w:lvlJc w:val="left"/>
      <w:pPr>
        <w:tabs>
          <w:tab w:val="num" w:pos="0"/>
        </w:tabs>
        <w:ind w:left="5760" w:hanging="360"/>
      </w:pPr>
      <w:rPr>
        <w:u w:val="none"/>
      </w:rPr>
    </w:lvl>
    <w:lvl w:ilvl="8">
      <w:start w:val="1"/>
      <w:numFmt w:val="lowerRoman"/>
      <w:lvlText w:val="%9."/>
      <w:lvlJc w:val="right"/>
      <w:pPr>
        <w:tabs>
          <w:tab w:val="num" w:pos="0"/>
        </w:tabs>
        <w:ind w:left="6480" w:hanging="360"/>
      </w:pPr>
      <w:rPr>
        <w:u w:val="none"/>
      </w:rPr>
    </w:lvl>
  </w:abstractNum>
  <w:abstractNum w:abstractNumId="3">
    <w:lvl w:ilvl="0">
      <w:start w:val="1"/>
      <w:numFmt w:val="lowerLetter"/>
      <w:lvlText w:val="%1)"/>
      <w:lvlJc w:val="left"/>
      <w:pPr>
        <w:tabs>
          <w:tab w:val="num" w:pos="0"/>
        </w:tabs>
        <w:ind w:left="720" w:hanging="360"/>
      </w:pPr>
      <w:rPr>
        <w:u w:val="none"/>
      </w:rPr>
    </w:lvl>
    <w:lvl w:ilvl="1">
      <w:start w:val="1"/>
      <w:numFmt w:val="lowerRoman"/>
      <w:lvlText w:val="%2)"/>
      <w:lvlJc w:val="right"/>
      <w:pPr>
        <w:tabs>
          <w:tab w:val="num" w:pos="0"/>
        </w:tabs>
        <w:ind w:left="1440" w:hanging="360"/>
      </w:pPr>
      <w:rPr>
        <w:u w:val="none"/>
      </w:rPr>
    </w:lvl>
    <w:lvl w:ilvl="2">
      <w:start w:val="1"/>
      <w:numFmt w:val="decimal"/>
      <w:lvlText w:val="%3)"/>
      <w:lvlJc w:val="left"/>
      <w:pPr>
        <w:tabs>
          <w:tab w:val="num" w:pos="0"/>
        </w:tabs>
        <w:ind w:left="2160" w:hanging="360"/>
      </w:pPr>
      <w:rPr>
        <w:u w:val="none"/>
      </w:rPr>
    </w:lvl>
    <w:lvl w:ilvl="3">
      <w:start w:val="1"/>
      <w:numFmt w:val="lowerLetter"/>
      <w:lvlText w:val="(%4)"/>
      <w:lvlJc w:val="left"/>
      <w:pPr>
        <w:tabs>
          <w:tab w:val="num" w:pos="0"/>
        </w:tabs>
        <w:ind w:left="2880" w:hanging="360"/>
      </w:pPr>
      <w:rPr>
        <w:u w:val="none"/>
      </w:rPr>
    </w:lvl>
    <w:lvl w:ilvl="4">
      <w:start w:val="1"/>
      <w:numFmt w:val="lowerRoman"/>
      <w:lvlText w:val="(%5)"/>
      <w:lvlJc w:val="right"/>
      <w:pPr>
        <w:tabs>
          <w:tab w:val="num" w:pos="0"/>
        </w:tabs>
        <w:ind w:left="3600" w:hanging="360"/>
      </w:pPr>
      <w:rPr>
        <w:u w:val="none"/>
      </w:rPr>
    </w:lvl>
    <w:lvl w:ilvl="5">
      <w:start w:val="1"/>
      <w:numFmt w:val="decimal"/>
      <w:lvlText w:val="(%6)"/>
      <w:lvlJc w:val="left"/>
      <w:pPr>
        <w:tabs>
          <w:tab w:val="num" w:pos="0"/>
        </w:tabs>
        <w:ind w:left="4320" w:hanging="360"/>
      </w:pPr>
      <w:rPr>
        <w:u w:val="none"/>
      </w:rPr>
    </w:lvl>
    <w:lvl w:ilvl="6">
      <w:start w:val="1"/>
      <w:numFmt w:val="lowerLetter"/>
      <w:lvlText w:val="%7."/>
      <w:lvlJc w:val="left"/>
      <w:pPr>
        <w:tabs>
          <w:tab w:val="num" w:pos="0"/>
        </w:tabs>
        <w:ind w:left="5040" w:hanging="360"/>
      </w:pPr>
      <w:rPr>
        <w:u w:val="none"/>
      </w:rPr>
    </w:lvl>
    <w:lvl w:ilvl="7">
      <w:start w:val="1"/>
      <w:numFmt w:val="lowerRoman"/>
      <w:lvlText w:val="%8."/>
      <w:lvlJc w:val="right"/>
      <w:pPr>
        <w:tabs>
          <w:tab w:val="num" w:pos="0"/>
        </w:tabs>
        <w:ind w:left="5760" w:hanging="360"/>
      </w:pPr>
      <w:rPr>
        <w:u w:val="none"/>
      </w:rPr>
    </w:lvl>
    <w:lvl w:ilvl="8">
      <w:start w:val="1"/>
      <w:numFmt w:val="decimal"/>
      <w:lvlText w:val="%9."/>
      <w:lvlJc w:val="left"/>
      <w:pPr>
        <w:tabs>
          <w:tab w:val="num" w:pos="0"/>
        </w:tabs>
        <w:ind w:left="6480" w:hanging="360"/>
      </w:pPr>
      <w:rPr>
        <w:u w:val="none"/>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85"/>
  <w:defaultTabStop w:val="720"/>
  <w:autoHyphenation w:val="true"/>
  <w:hyphenationZone w:val="0"/>
  <w:footnotePr>
    <w:numFmt w:val="decimal"/>
    <w:footnote w:id="0"/>
    <w:footnote w:id="1"/>
  </w:footnotePr>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 w:val="22"/>
        <w:szCs w:val="22"/>
        <w:lang w:val="pl-PL" w:eastAsia="zh-CN" w:bidi="hi-IN"/>
      </w:rPr>
    </w:rPrDefault>
    <w:pPrDefault>
      <w:pPr>
        <w:suppressAutoHyphens w:val="true"/>
      </w:pPr>
    </w:pPrDefault>
  </w:docDefaults>
  <w:style w:type="paragraph" w:styleId="Normal">
    <w:name w:val="Normal"/>
    <w:qFormat/>
    <w:pPr>
      <w:widowControl/>
      <w:suppressAutoHyphens w:val="true"/>
      <w:bidi w:val="0"/>
      <w:spacing w:lineRule="auto" w:line="276" w:before="0" w:after="0"/>
      <w:jc w:val="left"/>
    </w:pPr>
    <w:rPr>
      <w:rFonts w:ascii="Arial" w:hAnsi="Arial" w:eastAsia="Arial" w:cs="Arial"/>
      <w:color w:val="auto"/>
      <w:kern w:val="0"/>
      <w:sz w:val="22"/>
      <w:szCs w:val="22"/>
      <w:lang w:val="pl-PL" w:eastAsia="zh-CN" w:bidi="hi-IN"/>
    </w:rPr>
  </w:style>
  <w:style w:type="paragraph" w:styleId="Heading1">
    <w:name w:val="heading 1"/>
    <w:basedOn w:val="normal1"/>
    <w:next w:val="normal1"/>
    <w:qFormat/>
    <w:pPr>
      <w:keepNext w:val="true"/>
      <w:keepLines/>
      <w:pageBreakBefore w:val="false"/>
      <w:spacing w:lineRule="auto" w:line="240" w:before="400" w:after="120"/>
    </w:pPr>
    <w:rPr>
      <w:sz w:val="40"/>
      <w:szCs w:val="40"/>
    </w:rPr>
  </w:style>
  <w:style w:type="paragraph" w:styleId="Heading2">
    <w:name w:val="heading 2"/>
    <w:basedOn w:val="normal1"/>
    <w:next w:val="normal1"/>
    <w:qFormat/>
    <w:pPr>
      <w:keepNext w:val="true"/>
      <w:keepLines/>
      <w:pageBreakBefore w:val="false"/>
      <w:spacing w:lineRule="auto" w:line="240" w:before="360" w:after="120"/>
    </w:pPr>
    <w:rPr>
      <w:b w:val="false"/>
      <w:sz w:val="32"/>
      <w:szCs w:val="32"/>
    </w:rPr>
  </w:style>
  <w:style w:type="paragraph" w:styleId="Heading3">
    <w:name w:val="heading 3"/>
    <w:basedOn w:val="normal1"/>
    <w:next w:val="normal1"/>
    <w:qFormat/>
    <w:pPr>
      <w:keepNext w:val="true"/>
      <w:keepLines/>
      <w:pageBreakBefore w:val="false"/>
      <w:spacing w:lineRule="auto" w:line="240" w:before="320" w:after="80"/>
    </w:pPr>
    <w:rPr>
      <w:b w:val="false"/>
      <w:color w:val="434343"/>
      <w:sz w:val="28"/>
      <w:szCs w:val="28"/>
    </w:rPr>
  </w:style>
  <w:style w:type="paragraph" w:styleId="Heading4">
    <w:name w:val="heading 4"/>
    <w:basedOn w:val="normal1"/>
    <w:next w:val="normal1"/>
    <w:qFormat/>
    <w:pPr>
      <w:keepNext w:val="true"/>
      <w:keepLines/>
      <w:pageBreakBefore w:val="false"/>
      <w:spacing w:lineRule="auto" w:line="240" w:before="280" w:after="80"/>
    </w:pPr>
    <w:rPr>
      <w:color w:val="666666"/>
      <w:sz w:val="24"/>
      <w:szCs w:val="24"/>
    </w:rPr>
  </w:style>
  <w:style w:type="paragraph" w:styleId="Heading5">
    <w:name w:val="heading 5"/>
    <w:basedOn w:val="normal1"/>
    <w:next w:val="normal1"/>
    <w:qFormat/>
    <w:pPr>
      <w:keepNext w:val="true"/>
      <w:keepLines/>
      <w:pageBreakBefore w:val="false"/>
      <w:spacing w:lineRule="auto" w:line="240" w:before="240" w:after="80"/>
    </w:pPr>
    <w:rPr>
      <w:color w:val="666666"/>
      <w:sz w:val="22"/>
      <w:szCs w:val="22"/>
    </w:rPr>
  </w:style>
  <w:style w:type="paragraph" w:styleId="Heading6">
    <w:name w:val="heading 6"/>
    <w:basedOn w:val="normal1"/>
    <w:next w:val="normal1"/>
    <w:qFormat/>
    <w:pPr>
      <w:keepNext w:val="true"/>
      <w:keepLines/>
      <w:pageBreakBefore w:val="false"/>
      <w:spacing w:lineRule="auto" w:line="240" w:before="240" w:after="80"/>
    </w:pPr>
    <w:rPr>
      <w:i/>
      <w:color w:val="666666"/>
      <w:sz w:val="22"/>
      <w:szCs w:val="22"/>
    </w:rPr>
  </w:style>
  <w:style w:type="character" w:styleId="Hyperlink">
    <w:name w:val="Hyperlink"/>
    <w:rPr>
      <w:color w:val="000080"/>
      <w:u w:val="single"/>
    </w:rPr>
  </w:style>
  <w:style w:type="character" w:styleId="Znakiprzypiswdolnych">
    <w:name w:val="Znaki przypisów dolnych"/>
    <w:qFormat/>
    <w:rPr>
      <w:vertAlign w:val="superscript"/>
    </w:rPr>
  </w:style>
  <w:style w:type="character" w:styleId="Znakiprzypiswdolnychuser">
    <w:name w:val="Znaki przypisów dolnych (user)"/>
    <w:qFormat/>
    <w:rPr>
      <w:vertAlign w:val="superscript"/>
    </w:rPr>
  </w:style>
  <w:style w:type="character" w:styleId="FootnoteReference">
    <w:name w:val="footnote reference"/>
    <w:rPr>
      <w:vertAlign w:val="superscript"/>
    </w:rPr>
  </w:style>
  <w:style w:type="character" w:styleId="Znakiprzypiswkocowychuser">
    <w:name w:val="Znaki przypisów końcowych (user)"/>
    <w:qFormat/>
    <w:rPr>
      <w:vertAlign w:val="superscript"/>
    </w:rPr>
  </w:style>
  <w:style w:type="character" w:styleId="Znakiprzypiswkocowych">
    <w:name w:val="Znaki przypisów końcowych"/>
    <w:qFormat/>
    <w:rPr/>
  </w:style>
  <w:style w:type="character" w:styleId="EndnoteReference">
    <w:name w:val="endnote reference"/>
    <w:rPr>
      <w:vertAlign w:val="superscript"/>
    </w:rPr>
  </w:style>
  <w:style w:type="character" w:styleId="Znakinumeracji">
    <w:name w:val="Znaki numeracji"/>
    <w:qFormat/>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ks">
    <w:name w:val="Indeks"/>
    <w:basedOn w:val="Normal"/>
    <w:qFormat/>
    <w:pPr>
      <w:suppressLineNumbers/>
    </w:pPr>
    <w:rPr>
      <w:rFonts w:cs="Lucida Sans"/>
    </w:rPr>
  </w:style>
  <w:style w:type="paragraph" w:styleId="Nagwekuser">
    <w:name w:val="Nagłówek (user)"/>
    <w:basedOn w:val="Normal"/>
    <w:next w:val="BodyText"/>
    <w:qFormat/>
    <w:pPr>
      <w:keepNext w:val="true"/>
      <w:spacing w:before="240" w:after="120"/>
    </w:pPr>
    <w:rPr>
      <w:rFonts w:ascii="Liberation Sans" w:hAnsi="Liberation Sans" w:eastAsia="Microsoft YaHei" w:cs="Lucida Sans"/>
      <w:sz w:val="28"/>
      <w:szCs w:val="28"/>
    </w:rPr>
  </w:style>
  <w:style w:type="paragraph" w:styleId="Indeksuser">
    <w:name w:val="Indeks (user)"/>
    <w:basedOn w:val="Normal"/>
    <w:qFormat/>
    <w:pPr>
      <w:suppressLineNumbers/>
    </w:pPr>
    <w:rPr>
      <w:rFonts w:cs="Lucida Sans"/>
    </w:rPr>
  </w:style>
  <w:style w:type="paragraph" w:styleId="normal1" w:default="1">
    <w:name w:val="normal1"/>
    <w:qFormat/>
    <w:pPr>
      <w:widowControl/>
      <w:suppressAutoHyphens w:val="true"/>
      <w:bidi w:val="0"/>
      <w:spacing w:lineRule="auto" w:line="276" w:before="0" w:after="0"/>
      <w:jc w:val="left"/>
    </w:pPr>
    <w:rPr>
      <w:rFonts w:ascii="Arial" w:hAnsi="Arial" w:eastAsia="Arial" w:cs="Arial"/>
      <w:color w:val="auto"/>
      <w:kern w:val="0"/>
      <w:sz w:val="22"/>
      <w:szCs w:val="22"/>
      <w:lang w:val="pl-PL" w:eastAsia="zh-CN" w:bidi="hi-IN"/>
    </w:rPr>
  </w:style>
  <w:style w:type="paragraph" w:styleId="Title">
    <w:name w:val="Title"/>
    <w:basedOn w:val="normal1"/>
    <w:next w:val="normal1"/>
    <w:qFormat/>
    <w:pPr>
      <w:keepNext w:val="true"/>
      <w:keepLines/>
      <w:pageBreakBefore w:val="false"/>
      <w:spacing w:lineRule="auto" w:line="240" w:before="0" w:after="60"/>
    </w:pPr>
    <w:rPr>
      <w:sz w:val="52"/>
      <w:szCs w:val="52"/>
    </w:rPr>
  </w:style>
  <w:style w:type="paragraph" w:styleId="Subtitle">
    <w:name w:val="Subtitle"/>
    <w:basedOn w:val="normal1"/>
    <w:next w:val="normal1"/>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FootnoteText">
    <w:name w:val="footnote text"/>
    <w:basedOn w:val="Normal"/>
    <w:pPr/>
    <w:rPr/>
  </w:style>
  <w:style w:type="paragraph" w:styleId="Gwkaistopka">
    <w:name w:val="Główka i stopka"/>
    <w:basedOn w:val="Normal"/>
    <w:qFormat/>
    <w:pPr/>
    <w:rPr/>
  </w:style>
  <w:style w:type="paragraph" w:styleId="Gwkaistopkauser">
    <w:name w:val="Główka i stopka (user)"/>
    <w:basedOn w:val="Normal"/>
    <w:qFormat/>
    <w:pPr/>
    <w:rPr/>
  </w:style>
  <w:style w:type="paragraph" w:styleId="Footer">
    <w:name w:val="footer"/>
    <w:basedOn w:val="Gwkaistopka"/>
    <w:pPr/>
    <w:rPr/>
  </w:style>
  <w:style w:type="paragraph" w:styleId="Komentarz">
    <w:name w:val="Komentarz"/>
    <w:basedOn w:val="Normal"/>
    <w:qFormat/>
    <w:pPr>
      <w:spacing w:lineRule="auto" w:line="240" w:before="56" w:after="0"/>
      <w:ind w:hanging="0" w:left="57" w:right="57"/>
    </w:pPr>
    <w:rPr>
      <w:color w:val="auto"/>
      <w:sz w:val="20"/>
      <w:szCs w:val="20"/>
    </w:rPr>
  </w:style>
  <w:style w:type="table" w:default="1" w:styleId="TableNormal">
    <w:name w:val="TableNormal"/>
  </w:style>
  <w:style w:type="table" w:default="1" w:styleId="TableNormal">
    <w:name w:val="Table Normal"/>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openxmlformats.org/officeDocument/2006/relationships/customXml" Target="../customXml/item3.xml"/><Relationship Id="rId3" Type="http://schemas.openxmlformats.org/officeDocument/2006/relationships/footer" Target="footer2.xml"/><Relationship Id="rId7" Type="http://schemas.openxmlformats.org/officeDocument/2006/relationships/numbering" Target="numbering.xml"/><Relationship Id="rId12" Type="http://schemas.openxmlformats.org/officeDocument/2006/relationships/customXml" Target="../customXml/item2.xml"/><Relationship Id="rId2" Type="http://schemas.openxmlformats.org/officeDocument/2006/relationships/footer" Target="footer1.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footer" Target="footer3.xml"/><Relationship Id="rId9" Type="http://schemas.openxmlformats.org/officeDocument/2006/relationships/settings" Target="settings.xml"/><Relationship Id="rId14" Type="http://schemas.openxmlformats.org/officeDocument/2006/relationships/customXml" Target="../customXml/item4.xml"/></Relationships>
</file>

<file path=word/_rels/footnotes.xml.rels><?xml version="1.0" encoding="UTF-8"?>
<Relationships xmlns="http://schemas.openxmlformats.org/package/2006/relationships"><Relationship Id="rId1" Type="http://schemas.openxmlformats.org/officeDocument/2006/relationships/hyperlink" Target="https://arch-bip.ms.gov.pl/pl/prawa-czlowieka/inne-organizacje-miedzynarodowe-i-prawa-czlowieka/prawa-czlowieka-w-radzie-europy-/download,2254,3.html" TargetMode="External"/><Relationship Id="rId2" Type="http://schemas.openxmlformats.org/officeDocument/2006/relationships/hyperlink" Target="https://arch-bip.ms.gov.pl/pl/prawa-czlowieka/inne-organizacje-miedzynarodowe-i-prawa-czlowieka/prawa-czlowieka-w-radzie-europy-/download,2254,3.html" TargetMode="Externa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E5D/lmDrMYPWiIImrdePsETF4Yw==">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</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kument" ma:contentTypeID="0x010100B606CBF8670C5E418E7715F4863AFA0C" ma:contentTypeVersion="11" ma:contentTypeDescription="Utwórz nowy dokument." ma:contentTypeScope="" ma:versionID="ba699415b444e17143c327fa8469b3db">
  <xsd:schema xmlns:xsd="http://www.w3.org/2001/XMLSchema" xmlns:xs="http://www.w3.org/2001/XMLSchema" xmlns:p="http://schemas.microsoft.com/office/2006/metadata/properties" xmlns:ns2="dd44916e-9416-4f44-a3d2-688cfc9b5679" xmlns:ns3="32c9bab5-7aed-4e4f-b962-d6b3f02df521" targetNamespace="http://schemas.microsoft.com/office/2006/metadata/properties" ma:root="true" ma:fieldsID="6164566317ea866e4dfa5dd7d579b7b7" ns2:_="" ns3:_="">
    <xsd:import namespace="dd44916e-9416-4f44-a3d2-688cfc9b5679"/>
    <xsd:import namespace="32c9bab5-7aed-4e4f-b962-d6b3f02df5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44916e-9416-4f44-a3d2-688cfc9b56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1f245945-9b23-4291-b147-3aa1cff7e76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c9bab5-7aed-4e4f-b962-d6b3f02df52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d7dc5d-9a11-4a5b-aff4-83ad2516ca96}" ma:internalName="TaxCatchAll" ma:showField="CatchAllData" ma:web="32c9bab5-7aed-4e4f-b962-d6b3f02df5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d44916e-9416-4f44-a3d2-688cfc9b5679">
      <Terms xmlns="http://schemas.microsoft.com/office/infopath/2007/PartnerControls"/>
    </lcf76f155ced4ddcb4097134ff3c332f>
    <TaxCatchAll xmlns="32c9bab5-7aed-4e4f-b962-d6b3f02df521"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D5F2516D-B6E1-487C-850D-C1B71D5D272D}"/>
</file>

<file path=customXml/itemProps3.xml><?xml version="1.0" encoding="utf-8"?>
<ds:datastoreItem xmlns:ds="http://schemas.openxmlformats.org/officeDocument/2006/customXml" ds:itemID="{47C49A50-5247-46CA-8CF2-687AAC999CBC}"/>
</file>

<file path=customXml/itemProps4.xml><?xml version="1.0" encoding="utf-8"?>
<ds:datastoreItem xmlns:ds="http://schemas.openxmlformats.org/officeDocument/2006/customXml" ds:itemID="{D9313ACE-D583-4851-B913-B97B6F66624E}"/>
</file>

<file path=docProps/app.xml><?xml version="1.0" encoding="utf-8"?>
<Properties xmlns="http://schemas.openxmlformats.org/officeDocument/2006/extended-properties" xmlns:vt="http://schemas.openxmlformats.org/officeDocument/2006/docPropsVTypes">
  <Template/>
  <TotalTime>23</TotalTime>
  <Application>LibreOffice/26.2.1.2$Windows_X86_64 LibreOffice_project/620$Build-2</Application>
  <AppVersion>15.0000</AppVersion>
  <Pages>9</Pages>
  <Words>3882</Words>
  <Characters>25376</Characters>
  <CharactersWithSpaces>29274</CharactersWithSpaces>
  <Paragraphs>95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Karolina Gierdal</cp:lastModifiedBy>
  <cp:revision>3</cp:revision>
  <dcterms:modified xsi:type="dcterms:W3CDTF">2026-05-04T22:02:36Z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0x010100B606CBF8670C5E418E7715F4863AFA0C</vt:lpwstr>
  </property>
</Properties>
</file>